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4"/>
        <w:ind w:left="4126" w:right="4127" w:firstLine="0"/>
        <w:jc w:val="center"/>
        <w:rPr>
          <w:rFonts w:ascii="Times New Roman" w:hAnsi="Times New Roman"/>
          <w:sz w:val="14"/>
        </w:rPr>
      </w:pPr>
      <w:r>
        <w:rPr/>
        <w:pict>
          <v:line style="position:absolute;mso-position-horizontal-relative:page;mso-position-vertical-relative:paragraph;z-index:1168" from="37.609001pt,35.060322pt" to="486.824001pt,35.060322pt" stroked="true" strokeweight=".2492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478078</wp:posOffset>
            </wp:positionH>
            <wp:positionV relativeFrom="paragraph">
              <wp:posOffset>521435</wp:posOffset>
            </wp:positionV>
            <wp:extent cx="756917" cy="8290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6364084</wp:posOffset>
            </wp:positionH>
            <wp:positionV relativeFrom="paragraph">
              <wp:posOffset>445832</wp:posOffset>
            </wp:positionV>
            <wp:extent cx="719579" cy="90830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79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311996pt;margin-top:41.195927pt;width:375.6pt;height:65.1500pt;mso-position-horizontal-relative:page;mso-position-vertical-relative:paragraph;z-index:1240" type="#_x0000_t202" filled="true" fillcolor="#e4e4e4" stroked="false">
            <v:textbox inset="0,0,0,0">
              <w:txbxContent>
                <w:p>
                  <w:pPr>
                    <w:pStyle w:val="BodyText"/>
                    <w:spacing w:line="175" w:lineRule="exact"/>
                    <w:ind w:left="1636" w:right="1636"/>
                    <w:jc w:val="center"/>
                  </w:pPr>
                  <w:r>
                    <w:rPr/>
                    <w:t>Contents lists available at </w:t>
                  </w:r>
                  <w:hyperlink r:id="rId7">
                    <w:r>
                      <w:rPr>
                        <w:color w:val="2B7CA5"/>
                      </w:rPr>
                      <w:t>ScienceDirect</w:t>
                    </w:r>
                  </w:hyperlink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36" w:right="1636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Epilepsy Research</w:t>
                  </w:r>
                </w:p>
                <w:p>
                  <w:pPr>
                    <w:pStyle w:val="BodyText"/>
                    <w:spacing w:before="296"/>
                    <w:ind w:left="1644" w:right="1636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journal homepage: </w:t>
                  </w:r>
                  <w:hyperlink r:id="rId8">
                    <w:r>
                      <w:rPr>
                        <w:rFonts w:ascii="Tahoma"/>
                        <w:color w:val="2B7CA5"/>
                        <w:w w:val="105"/>
                      </w:rPr>
                      <w:t>www.elsevier.com/locate/epilepsyres</w:t>
                    </w:r>
                  </w:hyperlink>
                </w:p>
              </w:txbxContent>
            </v:textbox>
            <v:fill type="solid"/>
            <w10:wrap type="none"/>
          </v:shape>
        </w:pict>
      </w:r>
      <w:hyperlink r:id="rId9">
        <w:r>
          <w:rPr>
            <w:rFonts w:ascii="Times New Roman" w:hAnsi="Times New Roman"/>
            <w:color w:val="007FAA"/>
            <w:spacing w:val="-88"/>
            <w:w w:val="201"/>
            <w:sz w:val="14"/>
          </w:rPr>
          <w:t>E</w:t>
        </w:r>
        <w:r>
          <w:rPr>
            <w:rFonts w:ascii="Times New Roman" w:hAnsi="Times New Roman"/>
            <w:color w:val="007FAA"/>
            <w:spacing w:val="-85"/>
            <w:w w:val="235"/>
            <w:sz w:val="14"/>
          </w:rPr>
          <w:t>p</w:t>
        </w:r>
        <w:r>
          <w:rPr>
            <w:rFonts w:ascii="Times New Roman" w:hAnsi="Times New Roman"/>
            <w:color w:val="007FAA"/>
            <w:spacing w:val="-46"/>
            <w:w w:val="227"/>
            <w:sz w:val="14"/>
          </w:rPr>
          <w:t>il</w:t>
        </w:r>
        <w:r>
          <w:rPr>
            <w:rFonts w:ascii="Times New Roman" w:hAnsi="Times New Roman"/>
            <w:color w:val="007FAA"/>
            <w:spacing w:val="-75"/>
            <w:w w:val="232"/>
            <w:sz w:val="14"/>
          </w:rPr>
          <w:t>e</w:t>
        </w:r>
        <w:r>
          <w:rPr>
            <w:rFonts w:ascii="Times New Roman" w:hAnsi="Times New Roman"/>
            <w:color w:val="007FAA"/>
            <w:spacing w:val="-85"/>
            <w:w w:val="235"/>
            <w:sz w:val="14"/>
          </w:rPr>
          <w:t>p</w:t>
        </w:r>
        <w:r>
          <w:rPr>
            <w:rFonts w:ascii="Times New Roman" w:hAnsi="Times New Roman"/>
            <w:color w:val="007FAA"/>
            <w:spacing w:val="-61"/>
            <w:w w:val="215"/>
            <w:sz w:val="14"/>
          </w:rPr>
          <w:t>s</w:t>
        </w:r>
        <w:r>
          <w:rPr>
            <w:rFonts w:ascii="Times New Roman" w:hAnsi="Times New Roman"/>
            <w:color w:val="007FAA"/>
            <w:spacing w:val="-38"/>
            <w:w w:val="223"/>
            <w:sz w:val="14"/>
          </w:rPr>
          <w:t>y</w:t>
        </w:r>
        <w:r>
          <w:rPr>
            <w:rFonts w:ascii="Times New Roman" w:hAnsi="Times New Roman"/>
            <w:color w:val="007FAA"/>
            <w:spacing w:val="-98"/>
            <w:w w:val="204"/>
            <w:sz w:val="14"/>
          </w:rPr>
          <w:t>R</w:t>
        </w:r>
        <w:r>
          <w:rPr>
            <w:rFonts w:ascii="Times New Roman" w:hAnsi="Times New Roman"/>
            <w:color w:val="007FAA"/>
            <w:spacing w:val="-75"/>
            <w:w w:val="232"/>
            <w:sz w:val="14"/>
          </w:rPr>
          <w:t>e</w:t>
        </w:r>
        <w:r>
          <w:rPr>
            <w:rFonts w:ascii="Times New Roman" w:hAnsi="Times New Roman"/>
            <w:color w:val="007FAA"/>
            <w:spacing w:val="-61"/>
            <w:w w:val="215"/>
            <w:sz w:val="14"/>
          </w:rPr>
          <w:t>s</w:t>
        </w:r>
        <w:r>
          <w:rPr>
            <w:rFonts w:ascii="Times New Roman" w:hAnsi="Times New Roman"/>
            <w:color w:val="007FAA"/>
            <w:spacing w:val="-75"/>
            <w:w w:val="232"/>
            <w:sz w:val="14"/>
          </w:rPr>
          <w:t>e</w:t>
        </w:r>
        <w:r>
          <w:rPr>
            <w:rFonts w:ascii="Times New Roman" w:hAnsi="Times New Roman"/>
            <w:color w:val="007FAA"/>
            <w:spacing w:val="-77"/>
            <w:w w:val="241"/>
            <w:sz w:val="14"/>
          </w:rPr>
          <w:t>a</w:t>
        </w:r>
        <w:r>
          <w:rPr>
            <w:rFonts w:ascii="Times New Roman" w:hAnsi="Times New Roman"/>
            <w:color w:val="007FAA"/>
            <w:spacing w:val="-60"/>
            <w:w w:val="247"/>
            <w:sz w:val="14"/>
          </w:rPr>
          <w:t>r</w:t>
        </w:r>
        <w:r>
          <w:rPr>
            <w:rFonts w:ascii="Times New Roman" w:hAnsi="Times New Roman"/>
            <w:color w:val="007FAA"/>
            <w:spacing w:val="-71"/>
            <w:w w:val="221"/>
            <w:sz w:val="14"/>
          </w:rPr>
          <w:t>c</w:t>
        </w:r>
        <w:r>
          <w:rPr>
            <w:rFonts w:ascii="Times New Roman" w:hAnsi="Times New Roman"/>
            <w:color w:val="007FAA"/>
            <w:spacing w:val="-45"/>
            <w:w w:val="241"/>
            <w:sz w:val="14"/>
          </w:rPr>
          <w:t>h</w:t>
        </w:r>
        <w:r>
          <w:rPr>
            <w:rFonts w:ascii="Times New Roman" w:hAnsi="Times New Roman"/>
            <w:color w:val="007FAA"/>
            <w:spacing w:val="-85"/>
            <w:w w:val="237"/>
            <w:sz w:val="14"/>
          </w:rPr>
          <w:t>15</w:t>
        </w:r>
        <w:r>
          <w:rPr>
            <w:rFonts w:ascii="Times New Roman" w:hAnsi="Times New Roman"/>
            <w:color w:val="007FAA"/>
            <w:spacing w:val="-43"/>
            <w:w w:val="237"/>
            <w:sz w:val="14"/>
          </w:rPr>
          <w:t>3</w:t>
        </w:r>
        <w:r>
          <w:rPr>
            <w:rFonts w:ascii="Times New Roman" w:hAnsi="Times New Roman"/>
            <w:color w:val="007FAA"/>
            <w:spacing w:val="-57"/>
            <w:w w:val="237"/>
            <w:sz w:val="14"/>
          </w:rPr>
          <w:t>(</w:t>
        </w:r>
        <w:r>
          <w:rPr>
            <w:rFonts w:ascii="Times New Roman" w:hAnsi="Times New Roman"/>
            <w:color w:val="007FAA"/>
            <w:spacing w:val="-85"/>
            <w:w w:val="237"/>
            <w:sz w:val="14"/>
          </w:rPr>
          <w:t>2019</w:t>
        </w:r>
        <w:r>
          <w:rPr>
            <w:rFonts w:ascii="Times New Roman" w:hAnsi="Times New Roman"/>
            <w:color w:val="007FAA"/>
            <w:spacing w:val="-15"/>
            <w:w w:val="237"/>
            <w:sz w:val="14"/>
          </w:rPr>
          <w:t>)</w:t>
        </w:r>
        <w:r>
          <w:rPr>
            <w:rFonts w:ascii="Times New Roman" w:hAnsi="Times New Roman"/>
            <w:color w:val="007FAA"/>
            <w:spacing w:val="-85"/>
            <w:w w:val="237"/>
            <w:sz w:val="14"/>
          </w:rPr>
          <w:t>83</w:t>
        </w:r>
        <w:r>
          <w:rPr>
            <w:rFonts w:ascii="Times New Roman" w:hAnsi="Times New Roman"/>
            <w:color w:val="007FAA"/>
            <w:spacing w:val="-76"/>
            <w:w w:val="210"/>
            <w:sz w:val="14"/>
          </w:rPr>
          <w:t>–</w:t>
        </w:r>
        <w:r>
          <w:rPr>
            <w:rFonts w:ascii="Times New Roman" w:hAnsi="Times New Roman"/>
            <w:color w:val="007FAA"/>
            <w:spacing w:val="-85"/>
            <w:w w:val="237"/>
            <w:sz w:val="14"/>
          </w:rPr>
          <w:t>84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37.609001pt,9.453119pt" to="557.658991pt,9.453119pt" stroked="true" strokeweight="2.988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Times New Roman"/>
          <w:sz w:val="46"/>
        </w:rPr>
      </w:pPr>
    </w:p>
    <w:p>
      <w:pPr>
        <w:tabs>
          <w:tab w:pos="9377" w:val="left" w:leader="none"/>
        </w:tabs>
        <w:spacing w:line="552" w:lineRule="exact" w:before="0"/>
        <w:ind w:left="111" w:right="0" w:firstLine="0"/>
        <w:jc w:val="left"/>
        <w:rPr>
          <w:sz w:val="27"/>
        </w:rPr>
      </w:pPr>
      <w:bookmarkStart w:name="Lessons learned from transcutaneous vagu" w:id="1"/>
      <w:bookmarkEnd w:id="1"/>
      <w:r>
        <w:rPr/>
      </w:r>
      <w:r>
        <w:rPr>
          <w:sz w:val="27"/>
        </w:rPr>
        <w:t>Lessons</w:t>
      </w:r>
      <w:r>
        <w:rPr>
          <w:spacing w:val="40"/>
          <w:sz w:val="27"/>
        </w:rPr>
        <w:t> </w:t>
      </w:r>
      <w:r>
        <w:rPr>
          <w:sz w:val="27"/>
        </w:rPr>
        <w:t>learned</w:t>
      </w:r>
      <w:r>
        <w:rPr>
          <w:spacing w:val="40"/>
          <w:sz w:val="27"/>
        </w:rPr>
        <w:t> </w:t>
      </w:r>
      <w:r>
        <w:rPr>
          <w:sz w:val="27"/>
        </w:rPr>
        <w:t>from</w:t>
      </w:r>
      <w:r>
        <w:rPr>
          <w:spacing w:val="39"/>
          <w:sz w:val="27"/>
        </w:rPr>
        <w:t> </w:t>
      </w:r>
      <w:r>
        <w:rPr>
          <w:sz w:val="27"/>
        </w:rPr>
        <w:t>transcutaneous</w:t>
      </w:r>
      <w:r>
        <w:rPr>
          <w:spacing w:val="41"/>
          <w:sz w:val="27"/>
        </w:rPr>
        <w:t> </w:t>
      </w:r>
      <w:r>
        <w:rPr>
          <w:sz w:val="27"/>
        </w:rPr>
        <w:t>vagus</w:t>
      </w:r>
      <w:r>
        <w:rPr>
          <w:spacing w:val="39"/>
          <w:sz w:val="27"/>
        </w:rPr>
        <w:t> </w:t>
      </w:r>
      <w:r>
        <w:rPr>
          <w:sz w:val="27"/>
        </w:rPr>
        <w:t>nerve</w:t>
      </w:r>
      <w:r>
        <w:rPr>
          <w:spacing w:val="40"/>
          <w:sz w:val="27"/>
        </w:rPr>
        <w:t> </w:t>
      </w:r>
      <w:r>
        <w:rPr>
          <w:sz w:val="27"/>
        </w:rPr>
        <w:t>stimulation</w:t>
      </w:r>
      <w:r>
        <w:rPr>
          <w:spacing w:val="40"/>
          <w:sz w:val="27"/>
        </w:rPr>
        <w:t> </w:t>
      </w:r>
      <w:r>
        <w:rPr>
          <w:sz w:val="27"/>
        </w:rPr>
        <w:t>(tVNS)</w:t>
        <w:tab/>
      </w:r>
      <w:r>
        <w:rPr>
          <w:position w:val="-34"/>
          <w:sz w:val="27"/>
        </w:rPr>
        <w:drawing>
          <wp:inline distT="0" distB="0" distL="0" distR="0">
            <wp:extent cx="350454" cy="35228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4" cy="3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4"/>
          <w:sz w:val="27"/>
        </w:rPr>
      </w:r>
    </w:p>
    <w:p>
      <w:pPr>
        <w:spacing w:line="190" w:lineRule="exact" w:before="0"/>
        <w:ind w:left="111" w:right="0" w:firstLine="0"/>
        <w:jc w:val="left"/>
        <w:rPr>
          <w:rFonts w:ascii="Microsoft Sans Serif" w:hAnsi="Microsoft Sans Serif"/>
          <w:sz w:val="21"/>
        </w:rPr>
      </w:pPr>
      <w:r>
        <w:rPr>
          <w:w w:val="110"/>
          <w:sz w:val="21"/>
        </w:rPr>
        <w:t>Hajo M. Hamer</w:t>
      </w:r>
      <w:hyperlink w:history="true" w:anchor="_bookmark0">
        <w:r>
          <w:rPr>
            <w:color w:val="2B7CA5"/>
            <w:w w:val="110"/>
            <w:sz w:val="21"/>
            <w:vertAlign w:val="superscript"/>
          </w:rPr>
          <w:t>a</w:t>
        </w:r>
      </w:hyperlink>
      <w:r>
        <w:rPr>
          <w:w w:val="110"/>
          <w:sz w:val="21"/>
          <w:vertAlign w:val="baseline"/>
        </w:rPr>
        <w:t>, Sebastian Bauer</w:t>
      </w:r>
      <w:hyperlink w:history="true" w:anchor="_bookmark1">
        <w:r>
          <w:rPr>
            <w:color w:val="2B7CA5"/>
            <w:w w:val="110"/>
            <w:sz w:val="21"/>
            <w:vertAlign w:val="superscript"/>
          </w:rPr>
          <w:t>b</w:t>
        </w:r>
      </w:hyperlink>
      <w:r>
        <w:rPr>
          <w:w w:val="110"/>
          <w:sz w:val="21"/>
          <w:vertAlign w:val="superscript"/>
        </w:rPr>
        <w:t>,</w:t>
      </w:r>
      <w:hyperlink w:history="true" w:anchor="_bookmark2">
        <w:r>
          <w:rPr>
            <w:rFonts w:ascii="Microsoft Sans Serif" w:hAnsi="Microsoft Sans Serif"/>
            <w:color w:val="2B7CA5"/>
            <w:w w:val="110"/>
            <w:sz w:val="21"/>
            <w:vertAlign w:val="superscript"/>
          </w:rPr>
          <w:t>⁎</w:t>
        </w:r>
      </w:hyperlink>
    </w:p>
    <w:p>
      <w:pPr>
        <w:spacing w:before="116"/>
        <w:ind w:left="111" w:right="0" w:firstLine="0"/>
        <w:jc w:val="left"/>
        <w:rPr>
          <w:i/>
          <w:sz w:val="12"/>
        </w:rPr>
      </w:pPr>
      <w:bookmarkStart w:name="_bookmark0" w:id="2"/>
      <w:bookmarkEnd w:id="2"/>
      <w:r>
        <w:rPr/>
      </w:r>
      <w:r>
        <w:rPr>
          <w:w w:val="105"/>
          <w:position w:val="6"/>
          <w:sz w:val="8"/>
        </w:rPr>
        <w:t>a</w:t>
      </w:r>
      <w:bookmarkStart w:name="_bookmark1" w:id="3"/>
      <w:bookmarkEnd w:id="3"/>
      <w:r>
        <w:rPr>
          <w:w w:val="105"/>
          <w:position w:val="6"/>
          <w:sz w:val="8"/>
        </w:rPr>
      </w:r>
      <w:r>
        <w:rPr>
          <w:w w:val="105"/>
          <w:position w:val="6"/>
          <w:sz w:val="8"/>
        </w:rPr>
        <w:t> </w:t>
      </w:r>
      <w:r>
        <w:rPr>
          <w:i/>
          <w:w w:val="105"/>
          <w:sz w:val="12"/>
        </w:rPr>
        <w:t>Epilepsy Center Erlangen, Dept. of Neurology, University of Erlangen, Germany</w:t>
      </w:r>
    </w:p>
    <w:p>
      <w:pPr>
        <w:spacing w:before="10"/>
        <w:ind w:left="111" w:right="0" w:firstLine="0"/>
        <w:jc w:val="left"/>
        <w:rPr>
          <w:i/>
          <w:sz w:val="12"/>
        </w:rPr>
      </w:pPr>
      <w:r>
        <w:rPr>
          <w:w w:val="110"/>
          <w:position w:val="6"/>
          <w:sz w:val="8"/>
        </w:rPr>
        <w:t>b </w:t>
      </w:r>
      <w:r>
        <w:rPr>
          <w:i/>
          <w:w w:val="110"/>
          <w:sz w:val="12"/>
        </w:rPr>
        <w:t>Epilepsy Center Frankfurt Rhine-Main, Dept. of Neurology, University of Frankfurt, Germany</w:t>
      </w:r>
    </w:p>
    <w:p>
      <w:pPr>
        <w:pStyle w:val="BodyText"/>
        <w:spacing w:before="6"/>
        <w:rPr>
          <w:i/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37.609001pt,9.470009pt" to="557.658011pt,9.470009pt" stroked="true" strokeweight=".2491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5880"/>
          <w:pgMar w:top="380" w:bottom="280" w:left="640" w:right="640"/>
        </w:sectPr>
      </w:pPr>
    </w:p>
    <w:p>
      <w:pPr>
        <w:spacing w:before="104"/>
        <w:ind w:left="111" w:right="0" w:firstLine="0"/>
        <w:jc w:val="left"/>
        <w:rPr>
          <w:sz w:val="14"/>
        </w:rPr>
      </w:pPr>
      <w:r>
        <w:rPr>
          <w:w w:val="105"/>
          <w:sz w:val="14"/>
        </w:rPr>
        <w:t>A R T I C L E I N F O</w:t>
      </w:r>
    </w:p>
    <w:p>
      <w:pPr>
        <w:pStyle w:val="BodyText"/>
        <w:rPr>
          <w:sz w:val="14"/>
        </w:rPr>
      </w:pPr>
    </w:p>
    <w:p>
      <w:pPr>
        <w:pStyle w:val="BodyText"/>
        <w:spacing w:line="20" w:lineRule="exact"/>
        <w:ind w:left="109" w:right="-418"/>
        <w:rPr>
          <w:sz w:val="2"/>
        </w:rPr>
      </w:pPr>
      <w:r>
        <w:rPr>
          <w:sz w:val="2"/>
        </w:rPr>
        <w:pict>
          <v:group style="width:133.25pt;height:.25pt;mso-position-horizontal-relative:char;mso-position-vertical-relative:line" coordorigin="0,0" coordsize="2665,5">
            <v:line style="position:absolute" from="0,2" to="2665,2" stroked="true" strokeweight=".2491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2"/>
        <w:ind w:left="111" w:right="0" w:firstLine="0"/>
        <w:jc w:val="left"/>
        <w:rPr>
          <w:i/>
          <w:sz w:val="12"/>
        </w:rPr>
      </w:pPr>
      <w:r>
        <w:rPr>
          <w:i/>
          <w:w w:val="105"/>
          <w:sz w:val="12"/>
        </w:rPr>
        <w:t>Keywords:</w:t>
      </w:r>
    </w:p>
    <w:p>
      <w:pPr>
        <w:spacing w:line="295" w:lineRule="auto" w:before="31"/>
        <w:ind w:left="111" w:right="18" w:firstLine="0"/>
        <w:jc w:val="left"/>
        <w:rPr>
          <w:sz w:val="12"/>
        </w:rPr>
      </w:pPr>
      <w:r>
        <w:rPr>
          <w:w w:val="110"/>
          <w:sz w:val="12"/>
        </w:rPr>
        <w:t>Transcutaneous vagus nerve stimulation Epilepsy</w:t>
      </w:r>
    </w:p>
    <w:p>
      <w:pPr>
        <w:spacing w:line="292" w:lineRule="auto" w:before="0"/>
        <w:ind w:left="111" w:right="1735" w:firstLine="0"/>
        <w:jc w:val="left"/>
        <w:rPr>
          <w:sz w:val="12"/>
        </w:rPr>
      </w:pPr>
      <w:r>
        <w:rPr>
          <w:w w:val="105"/>
          <w:sz w:val="12"/>
        </w:rPr>
        <w:t>Seizures Treatment</w:t>
      </w:r>
    </w:p>
    <w:p>
      <w:pPr>
        <w:spacing w:before="104"/>
        <w:ind w:left="111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A B S T R A C T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203.151993pt,8.371009pt" to="557.482983pt,8.371009pt" stroked="true" strokeweight=".249pt" strokecolor="#000000">
            <v:stroke dashstyle="solid"/>
            <w10:wrap type="topAndBottom"/>
          </v:line>
        </w:pict>
      </w:r>
    </w:p>
    <w:p>
      <w:pPr>
        <w:spacing w:line="280" w:lineRule="auto" w:before="38"/>
        <w:ind w:left="111" w:right="110" w:firstLine="0"/>
        <w:jc w:val="both"/>
        <w:rPr>
          <w:sz w:val="14"/>
        </w:rPr>
      </w:pPr>
      <w:r>
        <w:rPr>
          <w:w w:val="105"/>
          <w:sz w:val="14"/>
        </w:rPr>
        <w:t>Transcutaneous vagus nerve stimulation (tVNS) is a newly developed method which intends to overcome </w:t>
      </w:r>
      <w:r>
        <w:rPr>
          <w:spacing w:val="-4"/>
          <w:w w:val="105"/>
          <w:sz w:val="14"/>
        </w:rPr>
        <w:t>the </w:t>
      </w:r>
      <w:r>
        <w:rPr>
          <w:w w:val="105"/>
          <w:sz w:val="14"/>
        </w:rPr>
        <w:t>disadvantage of surgical implantation of the stimulation device. The tVNS device is designed to stimulate the auricular branch of the vagus nerve via a bipolar electrode attached to the skin of the left ear conch. A ran- domized, double-blind controlled trial assessed e</w:t>
      </w:r>
      <w:r>
        <w:rPr>
          <w:rFonts w:ascii="Arial" w:hAnsi="Arial"/>
          <w:w w:val="105"/>
          <w:sz w:val="14"/>
        </w:rPr>
        <w:t>ﬃ</w:t>
      </w:r>
      <w:r>
        <w:rPr>
          <w:w w:val="105"/>
          <w:sz w:val="14"/>
        </w:rPr>
        <w:t>cacy and safety over 20 weeks of tVNS (n=39) vs. active control tVNS (n=37) in patients with drug-resistant epilepsy. While the mean seizure reduction per 28 days at end of treatment (2.9% reduction from baseline in the control group vs 23.4% in the active group) did not reach statistical signi</w:t>
      </w:r>
      <w:r>
        <w:rPr>
          <w:rFonts w:ascii="Arial" w:hAnsi="Arial"/>
          <w:w w:val="105"/>
          <w:sz w:val="14"/>
        </w:rPr>
        <w:t>ﬁ</w:t>
      </w:r>
      <w:r>
        <w:rPr>
          <w:w w:val="105"/>
          <w:sz w:val="14"/>
        </w:rPr>
        <w:t>cance, there was a signi</w:t>
      </w:r>
      <w:r>
        <w:rPr>
          <w:rFonts w:ascii="Arial" w:hAnsi="Arial"/>
          <w:w w:val="105"/>
          <w:sz w:val="14"/>
        </w:rPr>
        <w:t>ﬁ</w:t>
      </w:r>
      <w:r>
        <w:rPr>
          <w:w w:val="105"/>
          <w:sz w:val="14"/>
        </w:rPr>
        <w:t>cant reduction in seizure frequency (34 %) in patients in the tVNS  group at the end of the treatment period (20 weeks). TVNS was well-tolerated. The results justify further trials with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longer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observation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periods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possibly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at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earlier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stages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epilepsy.</w:t>
      </w:r>
    </w:p>
    <w:p>
      <w:pPr>
        <w:spacing w:after="0" w:line="280" w:lineRule="auto"/>
        <w:jc w:val="both"/>
        <w:rPr>
          <w:sz w:val="14"/>
        </w:rPr>
        <w:sectPr>
          <w:type w:val="continuous"/>
          <w:pgSz w:w="11910" w:h="15880"/>
          <w:pgMar w:top="380" w:bottom="280" w:left="640" w:right="640"/>
          <w:cols w:num="2" w:equalWidth="0">
            <w:col w:w="2438" w:space="873"/>
            <w:col w:w="7319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20.0500pt;height:.25pt;mso-position-horizontal-relative:char;mso-position-vertical-relative:line" coordorigin="0,0" coordsize="10401,5">
            <v:line style="position:absolute" from="0,2" to="10401,2" stroked="true" strokeweight=".2491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5880"/>
          <w:pgMar w:top="380" w:bottom="280" w:left="640" w:right="64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5"/>
        <w:jc w:val="left"/>
        <w:rPr>
          <w:sz w:val="16"/>
        </w:rPr>
      </w:pPr>
      <w:bookmarkStart w:name="Introduction and rationale for developme" w:id="4"/>
      <w:bookmarkEnd w:id="4"/>
      <w:r>
        <w:rPr/>
      </w:r>
      <w:bookmarkStart w:name="Introduction and rationale for developme" w:id="5"/>
      <w:bookmarkEnd w:id="5"/>
      <w:r>
        <w:rPr>
          <w:w w:val="105"/>
          <w:sz w:val="16"/>
        </w:rPr>
        <w:t>Introduction</w:t>
      </w:r>
      <w:r>
        <w:rPr>
          <w:w w:val="105"/>
          <w:sz w:val="16"/>
        </w:rPr>
        <w:t> and rationale for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development</w:t>
      </w:r>
    </w:p>
    <w:p>
      <w:pPr>
        <w:pStyle w:val="BodyText"/>
        <w:spacing w:before="3"/>
        <w:rPr>
          <w:rFonts w:ascii="Palatino Linotype"/>
        </w:rPr>
      </w:pPr>
    </w:p>
    <w:p>
      <w:pPr>
        <w:pStyle w:val="BodyText"/>
        <w:spacing w:line="266" w:lineRule="auto"/>
        <w:ind w:left="111" w:right="38" w:firstLine="249"/>
        <w:jc w:val="both"/>
      </w:pPr>
      <w:r>
        <w:rPr/>
        <w:t>Various brain stimulation therapies are currently available.  VNS  </w:t>
      </w:r>
      <w:r>
        <w:rPr>
          <w:spacing w:val="-7"/>
        </w:rPr>
        <w:t>is </w:t>
      </w:r>
      <w:r>
        <w:rPr/>
        <w:t>the stimulation method which is most frequently applied and is </w:t>
      </w:r>
      <w:r>
        <w:rPr>
          <w:spacing w:val="-3"/>
        </w:rPr>
        <w:t>asso- </w:t>
      </w:r>
      <w:r>
        <w:rPr/>
        <w:t>ciated with the longest experience in clinical practice. It requires im- plantation of a stimulator and an electrode which connects to the </w:t>
      </w:r>
      <w:r>
        <w:rPr>
          <w:spacing w:val="-3"/>
        </w:rPr>
        <w:t>left </w:t>
      </w:r>
      <w:r>
        <w:rPr/>
        <w:t>vagal nerve. Long-term VNS reduced seizure frequency during initial treatment by roughly 30%</w:t>
      </w:r>
      <w:r>
        <w:rPr>
          <w:rFonts w:ascii="Calibri" w:hAnsi="Calibri"/>
        </w:rPr>
        <w:t>–</w:t>
      </w:r>
      <w:r>
        <w:rPr/>
        <w:t>40% (</w:t>
      </w:r>
      <w:hyperlink w:history="true" w:anchor="_bookmark8">
        <w:r>
          <w:rPr>
            <w:color w:val="2B7CA5"/>
          </w:rPr>
          <w:t>Handforth et al., 1998</w:t>
        </w:r>
      </w:hyperlink>
      <w:r>
        <w:rPr/>
        <w:t>; </w:t>
      </w:r>
      <w:hyperlink w:history="true" w:anchor="_bookmark10">
        <w:r>
          <w:rPr>
            <w:color w:val="2B7CA5"/>
          </w:rPr>
          <w:t>Morris </w:t>
        </w:r>
        <w:r>
          <w:rPr>
            <w:color w:val="2B7CA5"/>
            <w:spacing w:val="-4"/>
          </w:rPr>
          <w:t>and</w:t>
        </w:r>
      </w:hyperlink>
      <w:r>
        <w:rPr>
          <w:color w:val="2B7CA5"/>
          <w:spacing w:val="-4"/>
        </w:rPr>
        <w:t> </w:t>
      </w:r>
      <w:hyperlink w:history="true" w:anchor="_bookmark10">
        <w:r>
          <w:rPr>
            <w:color w:val="2B7CA5"/>
          </w:rPr>
          <w:t>Mueller, 1999</w:t>
        </w:r>
      </w:hyperlink>
      <w:r>
        <w:rPr/>
        <w:t>). The treatment e</w:t>
      </w:r>
      <w:r>
        <w:rPr>
          <w:rFonts w:ascii="Arial" w:hAnsi="Arial"/>
        </w:rPr>
        <w:t>ﬀ</w:t>
      </w:r>
      <w:r>
        <w:rPr/>
        <w:t>ect usually  increases  over  </w:t>
      </w:r>
      <w:r>
        <w:rPr>
          <w:spacing w:val="-4"/>
        </w:rPr>
        <w:t>time  </w:t>
      </w:r>
      <w:r>
        <w:rPr/>
        <w:t>(</w:t>
      </w:r>
      <w:hyperlink w:history="true" w:anchor="_bookmark10">
        <w:r>
          <w:rPr>
            <w:color w:val="2B7CA5"/>
          </w:rPr>
          <w:t>Morris and Mueller, 1999</w:t>
        </w:r>
      </w:hyperlink>
      <w:r>
        <w:rPr/>
        <w:t>). Transcutaneous vagus nerve stimulation (tVNS) is a newly developed method which intends to overcome </w:t>
      </w:r>
      <w:r>
        <w:rPr>
          <w:spacing w:val="-4"/>
        </w:rPr>
        <w:t>the </w:t>
      </w:r>
      <w:r>
        <w:rPr/>
        <w:t>disadvantage</w:t>
      </w:r>
      <w:r>
        <w:rPr>
          <w:spacing w:val="27"/>
        </w:rPr>
        <w:t> </w:t>
      </w:r>
      <w:r>
        <w:rPr/>
        <w:t>of</w:t>
      </w:r>
      <w:r>
        <w:rPr>
          <w:spacing w:val="23"/>
        </w:rPr>
        <w:t> </w:t>
      </w:r>
      <w:r>
        <w:rPr/>
        <w:t>surgical</w:t>
      </w:r>
      <w:r>
        <w:rPr>
          <w:spacing w:val="25"/>
        </w:rPr>
        <w:t> </w:t>
      </w:r>
      <w:r>
        <w:rPr/>
        <w:t>implantation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stimulation</w:t>
      </w:r>
      <w:r>
        <w:rPr>
          <w:spacing w:val="25"/>
        </w:rPr>
        <w:t> </w:t>
      </w:r>
      <w:r>
        <w:rPr/>
        <w:t>device.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5"/>
        <w:jc w:val="left"/>
        <w:rPr>
          <w:sz w:val="16"/>
        </w:rPr>
      </w:pPr>
      <w:bookmarkStart w:name="Technical and functional characteristics" w:id="6"/>
      <w:bookmarkEnd w:id="6"/>
      <w:r>
        <w:rPr/>
      </w:r>
      <w:bookmarkStart w:name="Technical and functional characteristics" w:id="7"/>
      <w:bookmarkEnd w:id="7"/>
      <w:r>
        <w:rPr>
          <w:w w:val="110"/>
          <w:sz w:val="16"/>
        </w:rPr>
        <w:t>Technical</w:t>
      </w:r>
      <w:r>
        <w:rPr>
          <w:w w:val="110"/>
          <w:sz w:val="16"/>
        </w:rPr>
        <w:t> and functional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characteristics</w:t>
      </w:r>
    </w:p>
    <w:p>
      <w:pPr>
        <w:pStyle w:val="BodyText"/>
        <w:spacing w:before="3"/>
        <w:rPr>
          <w:rFonts w:ascii="Palatino Linotype"/>
        </w:rPr>
      </w:pPr>
    </w:p>
    <w:p>
      <w:pPr>
        <w:pStyle w:val="BodyText"/>
        <w:spacing w:line="268" w:lineRule="auto"/>
        <w:ind w:left="111" w:right="38" w:firstLine="249"/>
        <w:jc w:val="both"/>
      </w:pPr>
      <w:r>
        <w:rPr/>
        <w:t>The auricular branch of the vagus nerve supplies the cymba conchae (</w:t>
      </w:r>
      <w:hyperlink w:history="true" w:anchor="_bookmark11">
        <w:r>
          <w:rPr>
            <w:color w:val="2B7CA5"/>
          </w:rPr>
          <w:t>Peuker and Filler, 2002</w:t>
        </w:r>
      </w:hyperlink>
      <w:r>
        <w:rPr/>
        <w:t>). It can be stimulated using an external device with a bipolar electrode  attached  to  the  skin  of  the  left  ear  </w:t>
      </w:r>
      <w:r>
        <w:rPr>
          <w:spacing w:val="-3"/>
        </w:rPr>
        <w:t>conch  </w:t>
      </w:r>
      <w:r>
        <w:rPr/>
        <w:t>(</w:t>
      </w:r>
      <w:hyperlink w:history="true" w:anchor="_bookmark3">
        <w:r>
          <w:rPr>
            <w:color w:val="2B7CA5"/>
          </w:rPr>
          <w:t>Fig.</w:t>
        </w:r>
        <w:r>
          <w:rPr>
            <w:color w:val="2B7CA5"/>
            <w:spacing w:val="27"/>
          </w:rPr>
          <w:t> </w:t>
        </w:r>
        <w:r>
          <w:rPr>
            <w:color w:val="2B7CA5"/>
          </w:rPr>
          <w:t>1</w:t>
        </w:r>
      </w:hyperlink>
      <w:r>
        <w:rPr/>
        <w:t>).</w:t>
      </w:r>
      <w:r>
        <w:rPr>
          <w:spacing w:val="26"/>
        </w:rPr>
        <w:t> </w:t>
      </w:r>
      <w:r>
        <w:rPr/>
        <w:t>Typical</w:t>
      </w:r>
      <w:r>
        <w:rPr>
          <w:spacing w:val="27"/>
        </w:rPr>
        <w:t> </w:t>
      </w:r>
      <w:r>
        <w:rPr/>
        <w:t>settings</w:t>
      </w:r>
      <w:r>
        <w:rPr>
          <w:spacing w:val="28"/>
        </w:rPr>
        <w:t> </w:t>
      </w:r>
      <w:r>
        <w:rPr/>
        <w:t>are:</w:t>
      </w:r>
      <w:r>
        <w:rPr>
          <w:spacing w:val="27"/>
        </w:rPr>
        <w:t> </w:t>
      </w:r>
      <w:r>
        <w:rPr/>
        <w:t>stimulation</w:t>
      </w:r>
      <w:r>
        <w:rPr>
          <w:spacing w:val="29"/>
        </w:rPr>
        <w:t> </w:t>
      </w:r>
      <w:r>
        <w:rPr/>
        <w:t>frequency</w:t>
      </w:r>
      <w:r>
        <w:rPr>
          <w:spacing w:val="27"/>
        </w:rPr>
        <w:t> </w:t>
      </w:r>
      <w:r>
        <w:rPr/>
        <w:t>25</w:t>
      </w:r>
      <w:r>
        <w:rPr>
          <w:spacing w:val="3"/>
        </w:rPr>
        <w:t> </w:t>
      </w:r>
      <w:r>
        <w:rPr/>
        <w:t>Hz,</w:t>
      </w:r>
      <w:r>
        <w:rPr>
          <w:spacing w:val="27"/>
        </w:rPr>
        <w:t> </w:t>
      </w:r>
      <w:r>
        <w:rPr/>
        <w:t>pulse</w:t>
      </w:r>
      <w:r>
        <w:rPr>
          <w:spacing w:val="28"/>
        </w:rPr>
        <w:t> </w:t>
      </w:r>
      <w:r>
        <w:rPr>
          <w:spacing w:val="-3"/>
        </w:rPr>
        <w:t>width</w:t>
      </w:r>
    </w:p>
    <w:p>
      <w:pPr>
        <w:pStyle w:val="BodyText"/>
        <w:spacing w:line="213" w:lineRule="exact"/>
        <w:ind w:left="111"/>
      </w:pPr>
      <w:r>
        <w:rPr>
          <w:w w:val="105"/>
        </w:rPr>
        <w:t>250 </w:t>
      </w:r>
      <w:r>
        <w:rPr>
          <w:rFonts w:ascii="Lucida Sans Unicode" w:hAnsi="Lucida Sans Unicode"/>
          <w:w w:val="105"/>
        </w:rPr>
        <w:t>μ</w:t>
      </w:r>
      <w:r>
        <w:rPr>
          <w:w w:val="105"/>
        </w:rPr>
        <w:t>s,  30 s  on/30 s  o</w:t>
      </w:r>
      <w:r>
        <w:rPr>
          <w:rFonts w:ascii="Arial" w:hAnsi="Arial"/>
          <w:w w:val="105"/>
        </w:rPr>
        <w:t>ﬀ</w:t>
      </w:r>
      <w:r>
        <w:rPr>
          <w:w w:val="105"/>
        </w:rPr>
        <w:t>,  application  time  4 h  per  day,  resulting</w:t>
      </w:r>
      <w:r>
        <w:rPr>
          <w:spacing w:val="36"/>
          <w:w w:val="105"/>
        </w:rPr>
        <w:t> </w:t>
      </w:r>
      <w:r>
        <w:rPr>
          <w:w w:val="105"/>
        </w:rPr>
        <w:t>in</w:t>
      </w:r>
    </w:p>
    <w:p>
      <w:pPr>
        <w:pStyle w:val="BodyText"/>
        <w:spacing w:line="268" w:lineRule="auto"/>
        <w:ind w:left="111" w:right="38"/>
        <w:jc w:val="both"/>
      </w:pPr>
      <w:r>
        <w:rPr/>
        <w:t>180.000 stimuli per day. Active control stimulation can be performed with 1 Hz, resulting in 7.200 stimuli per day. Pilot studies showed </w:t>
      </w:r>
      <w:r>
        <w:rPr>
          <w:spacing w:val="-4"/>
        </w:rPr>
        <w:t>re- </w:t>
      </w:r>
      <w:r>
        <w:rPr/>
        <w:t>sponder rates and mean seizure reduction of up to 55% (</w:t>
      </w:r>
      <w:hyperlink w:history="true" w:anchor="_bookmark12">
        <w:r>
          <w:rPr>
            <w:color w:val="2B7CA5"/>
          </w:rPr>
          <w:t>Stefan et </w:t>
        </w:r>
        <w:r>
          <w:rPr>
            <w:color w:val="2B7CA5"/>
            <w:spacing w:val="-3"/>
          </w:rPr>
          <w:t>al.,</w:t>
        </w:r>
      </w:hyperlink>
      <w:hyperlink w:history="true" w:anchor="_bookmark12">
        <w:r>
          <w:rPr>
            <w:color w:val="2B7CA5"/>
            <w:spacing w:val="-3"/>
          </w:rPr>
          <w:t> </w:t>
        </w:r>
        <w:r>
          <w:rPr>
            <w:color w:val="2B7CA5"/>
          </w:rPr>
          <w:t>2012</w:t>
        </w:r>
      </w:hyperlink>
      <w:r>
        <w:rPr/>
        <w:t>;</w:t>
      </w:r>
      <w:r>
        <w:rPr>
          <w:spacing w:val="18"/>
        </w:rPr>
        <w:t> </w:t>
      </w:r>
      <w:hyperlink w:history="true" w:anchor="_bookmark9">
        <w:r>
          <w:rPr>
            <w:color w:val="2B7CA5"/>
          </w:rPr>
          <w:t>He</w:t>
        </w:r>
        <w:r>
          <w:rPr>
            <w:color w:val="2B7CA5"/>
            <w:spacing w:val="18"/>
          </w:rPr>
          <w:t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> </w:t>
        </w:r>
        <w:r>
          <w:rPr>
            <w:color w:val="2B7CA5"/>
          </w:rPr>
          <w:t>al.,</w:t>
        </w:r>
        <w:r>
          <w:rPr>
            <w:color w:val="2B7CA5"/>
            <w:spacing w:val="19"/>
          </w:rPr>
          <w:t> </w:t>
        </w:r>
        <w:r>
          <w:rPr>
            <w:color w:val="2B7CA5"/>
          </w:rPr>
          <w:t>2013</w:t>
        </w:r>
      </w:hyperlink>
      <w:r>
        <w:rPr/>
        <w:t>).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5"/>
        <w:jc w:val="left"/>
        <w:rPr>
          <w:sz w:val="16"/>
        </w:rPr>
      </w:pPr>
      <w:bookmarkStart w:name="Results" w:id="8"/>
      <w:bookmarkEnd w:id="8"/>
      <w:r>
        <w:rPr/>
      </w:r>
      <w:bookmarkStart w:name="Results" w:id="9"/>
      <w:bookmarkEnd w:id="9"/>
      <w:r>
        <w:rPr>
          <w:w w:val="105"/>
          <w:sz w:val="16"/>
        </w:rPr>
        <w:t>Results</w:t>
      </w:r>
    </w:p>
    <w:p>
      <w:pPr>
        <w:pStyle w:val="BodyText"/>
        <w:spacing w:before="2"/>
        <w:rPr>
          <w:rFonts w:ascii="Palatino Linotype"/>
        </w:rPr>
      </w:pPr>
    </w:p>
    <w:p>
      <w:pPr>
        <w:pStyle w:val="BodyText"/>
        <w:spacing w:line="268" w:lineRule="auto" w:before="1"/>
        <w:ind w:left="111" w:right="110" w:firstLine="249"/>
        <w:jc w:val="both"/>
      </w:pPr>
      <w:r>
        <w:rPr/>
        <w:t>One randomized, double-blind controlled  trial has been performed  to assess e</w:t>
      </w:r>
      <w:r>
        <w:rPr>
          <w:rFonts w:ascii="Arial" w:hAnsi="Arial"/>
        </w:rPr>
        <w:t>ﬃ</w:t>
      </w:r>
      <w:r>
        <w:rPr/>
        <w:t>cacy and safety over 20 weeks of tVNS in patients with drug-resistant epilepsy (</w:t>
      </w:r>
      <w:hyperlink w:history="true" w:anchor="_bookmark6">
        <w:r>
          <w:rPr>
            <w:color w:val="2B7CA5"/>
          </w:rPr>
          <w:t>Bauer et al., 2016</w:t>
        </w:r>
      </w:hyperlink>
      <w:r>
        <w:rPr/>
        <w:t>). Primary objective was </w:t>
      </w:r>
      <w:r>
        <w:rPr>
          <w:spacing w:val="-6"/>
        </w:rPr>
        <w:t>to </w:t>
      </w:r>
      <w:r>
        <w:rPr/>
        <w:t>demonstrate superiority of add-on therapy with tVNS (stimulation </w:t>
      </w:r>
      <w:r>
        <w:rPr>
          <w:spacing w:val="-4"/>
        </w:rPr>
        <w:t>fre- </w:t>
      </w:r>
      <w:r>
        <w:rPr/>
        <w:t>quency 25 Hz, n </w:t>
      </w:r>
      <w:r>
        <w:rPr>
          <w:w w:val="150"/>
        </w:rPr>
        <w:t>= </w:t>
      </w:r>
      <w:r>
        <w:rPr/>
        <w:t>39) versus active controls (1 Hz, n </w:t>
      </w:r>
      <w:r>
        <w:rPr>
          <w:w w:val="150"/>
        </w:rPr>
        <w:t>= </w:t>
      </w:r>
      <w:r>
        <w:rPr/>
        <w:t>37) in reducing seizure frequency over 20 weeks. The primary e</w:t>
      </w:r>
      <w:r>
        <w:rPr>
          <w:rFonts w:ascii="Arial" w:hAnsi="Arial"/>
        </w:rPr>
        <w:t>ﬃ</w:t>
      </w:r>
      <w:r>
        <w:rPr/>
        <w:t>cacy variable was </w:t>
      </w:r>
      <w:r>
        <w:rPr>
          <w:spacing w:val="-4"/>
        </w:rPr>
        <w:t>the </w:t>
      </w:r>
      <w:r>
        <w:rPr/>
        <w:t>relative change of seizure-frequency per 28 days over the treatment period. Analysis of covariance (ANCOVA) was performed with </w:t>
      </w:r>
      <w:r>
        <w:rPr>
          <w:spacing w:val="-3"/>
        </w:rPr>
        <w:t>treat-  </w:t>
      </w:r>
      <w:r>
        <w:rPr/>
        <w:t>ment as factor and baseline seizure frequency per 28 days as covariate, calculating treatment di</w:t>
      </w:r>
      <w:r>
        <w:rPr>
          <w:rFonts w:ascii="Arial" w:hAnsi="Arial"/>
        </w:rPr>
        <w:t>ﬀ</w:t>
      </w:r>
      <w:r>
        <w:rPr/>
        <w:t>erences in least square means and 95% </w:t>
      </w:r>
      <w:r>
        <w:rPr>
          <w:spacing w:val="-3"/>
        </w:rPr>
        <w:t>con- </w:t>
      </w:r>
      <w:r>
        <w:rPr>
          <w:rFonts w:ascii="Arial" w:hAnsi="Arial"/>
        </w:rPr>
        <w:t>ﬁ</w:t>
      </w:r>
      <w:r>
        <w:rPr/>
        <w:t>dence intervals. Responder rates were compared between the </w:t>
      </w:r>
      <w:r>
        <w:rPr>
          <w:spacing w:val="-4"/>
        </w:rPr>
        <w:t>two </w:t>
      </w:r>
      <w:r>
        <w:rPr/>
        <w:t>treatment groups using a logistic regression model with treatment </w:t>
      </w:r>
      <w:r>
        <w:rPr>
          <w:spacing w:val="-7"/>
        </w:rPr>
        <w:t>as </w:t>
      </w:r>
      <w:r>
        <w:rPr/>
        <w:t>factor and the log-transformed baseline seizure-frequency per 28 </w:t>
      </w:r>
      <w:r>
        <w:rPr>
          <w:spacing w:val="-3"/>
        </w:rPr>
        <w:t>days   </w:t>
      </w:r>
      <w:r>
        <w:rPr/>
        <w:t>as</w:t>
      </w:r>
      <w:r>
        <w:rPr>
          <w:spacing w:val="17"/>
        </w:rPr>
        <w:t> </w:t>
      </w:r>
      <w:r>
        <w:rPr/>
        <w:t>covariate.</w:t>
      </w:r>
    </w:p>
    <w:p>
      <w:pPr>
        <w:pStyle w:val="BodyText"/>
        <w:spacing w:line="175" w:lineRule="exact"/>
        <w:ind w:left="361"/>
      </w:pP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treatment</w:t>
      </w:r>
      <w:r>
        <w:rPr>
          <w:spacing w:val="-11"/>
          <w:w w:val="110"/>
        </w:rPr>
        <w:t> </w:t>
      </w:r>
      <w:r>
        <w:rPr>
          <w:w w:val="110"/>
        </w:rPr>
        <w:t>adherence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w w:val="150"/>
        </w:rPr>
        <w:t>&gt;</w:t>
      </w:r>
      <w:r>
        <w:rPr>
          <w:spacing w:val="-37"/>
          <w:w w:val="150"/>
        </w:rPr>
        <w:t> </w:t>
      </w:r>
      <w:r>
        <w:rPr>
          <w:w w:val="110"/>
        </w:rPr>
        <w:t>80%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both</w:t>
      </w:r>
      <w:r>
        <w:rPr>
          <w:spacing w:val="-11"/>
          <w:w w:val="110"/>
        </w:rPr>
        <w:t> </w:t>
      </w:r>
      <w:r>
        <w:rPr>
          <w:w w:val="110"/>
        </w:rPr>
        <w:t>groups,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di</w:t>
      </w:r>
      <w:r>
        <w:rPr>
          <w:rFonts w:ascii="Arial" w:hAnsi="Arial"/>
          <w:w w:val="110"/>
        </w:rPr>
        <w:t>ﬀ</w:t>
      </w:r>
      <w:r>
        <w:rPr>
          <w:w w:val="110"/>
        </w:rPr>
        <w:t>erence</w:t>
      </w:r>
    </w:p>
    <w:p>
      <w:pPr>
        <w:pStyle w:val="BodyText"/>
        <w:spacing w:line="268" w:lineRule="auto" w:before="21"/>
        <w:ind w:left="111" w:right="110"/>
        <w:jc w:val="both"/>
      </w:pPr>
      <w:r>
        <w:rPr>
          <w:w w:val="105"/>
        </w:rPr>
        <w:t>in mean seizure reduction per 28 days at end of treatment (2.9% </w:t>
      </w:r>
      <w:r>
        <w:rPr>
          <w:spacing w:val="-4"/>
          <w:w w:val="105"/>
        </w:rPr>
        <w:t>re- </w:t>
      </w:r>
      <w:r>
        <w:rPr>
          <w:w w:val="105"/>
        </w:rPr>
        <w:t>duction from baseline in the 1 Hz group vs 23.4% in the 25 Hz group) was not signi</w:t>
      </w:r>
      <w:r>
        <w:rPr>
          <w:rFonts w:ascii="Arial" w:hAnsi="Arial"/>
          <w:w w:val="105"/>
        </w:rPr>
        <w:t>ﬁ</w:t>
      </w:r>
      <w:r>
        <w:rPr>
          <w:w w:val="105"/>
        </w:rPr>
        <w:t>cant (p </w:t>
      </w:r>
      <w:r>
        <w:rPr>
          <w:w w:val="150"/>
        </w:rPr>
        <w:t>= </w:t>
      </w:r>
      <w:r>
        <w:rPr>
          <w:w w:val="105"/>
        </w:rPr>
        <w:t>0.146). However, there was a signi</w:t>
      </w:r>
      <w:r>
        <w:rPr>
          <w:rFonts w:ascii="Arial" w:hAnsi="Arial"/>
          <w:w w:val="105"/>
        </w:rPr>
        <w:t>ﬁ</w:t>
      </w:r>
      <w:r>
        <w:rPr>
          <w:w w:val="105"/>
        </w:rPr>
        <w:t>cant re- duction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seizure</w:t>
      </w:r>
      <w:r>
        <w:rPr>
          <w:spacing w:val="-7"/>
          <w:w w:val="105"/>
        </w:rPr>
        <w:t> </w:t>
      </w:r>
      <w:r>
        <w:rPr>
          <w:w w:val="105"/>
        </w:rPr>
        <w:t>frequency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patients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25</w:t>
      </w:r>
      <w:r>
        <w:rPr>
          <w:spacing w:val="-13"/>
          <w:w w:val="105"/>
        </w:rPr>
        <w:t> </w:t>
      </w:r>
      <w:r>
        <w:rPr>
          <w:w w:val="105"/>
        </w:rPr>
        <w:t>Hz</w:t>
      </w:r>
      <w:r>
        <w:rPr>
          <w:spacing w:val="-7"/>
          <w:w w:val="105"/>
        </w:rPr>
        <w:t> </w:t>
      </w:r>
      <w:r>
        <w:rPr>
          <w:w w:val="105"/>
        </w:rPr>
        <w:t>group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of </w:t>
      </w:r>
      <w:r>
        <w:rPr>
          <w:w w:val="105"/>
        </w:rPr>
        <w:t>the treatment period, i.e. at 20 weeks (n </w:t>
      </w:r>
      <w:r>
        <w:rPr>
          <w:w w:val="150"/>
        </w:rPr>
        <w:t>= </w:t>
      </w:r>
      <w:r>
        <w:rPr>
          <w:w w:val="105"/>
        </w:rPr>
        <w:t>26, 34.2%,  p </w:t>
      </w:r>
      <w:r>
        <w:rPr>
          <w:w w:val="150"/>
        </w:rPr>
        <w:t>= </w:t>
      </w:r>
      <w:r>
        <w:rPr>
          <w:w w:val="105"/>
        </w:rPr>
        <w:t>0.034) (</w:t>
      </w:r>
      <w:hyperlink w:history="true" w:anchor="_bookmark4">
        <w:r>
          <w:rPr>
            <w:color w:val="2B7CA5"/>
            <w:w w:val="105"/>
          </w:rPr>
          <w:t>Fig.</w:t>
        </w:r>
        <w:r>
          <w:rPr>
            <w:color w:val="2B7CA5"/>
            <w:spacing w:val="16"/>
            <w:w w:val="105"/>
          </w:rPr>
          <w:t> </w:t>
        </w:r>
        <w:r>
          <w:rPr>
            <w:color w:val="2B7CA5"/>
            <w:w w:val="105"/>
          </w:rPr>
          <w:t>2</w:t>
        </w:r>
      </w:hyperlink>
      <w:r>
        <w:rPr>
          <w:w w:val="105"/>
        </w:rPr>
        <w:t>).</w:t>
      </w:r>
    </w:p>
    <w:p>
      <w:pPr>
        <w:pStyle w:val="BodyText"/>
        <w:spacing w:line="266" w:lineRule="auto"/>
        <w:ind w:left="361" w:right="111"/>
      </w:pPr>
      <w:r>
        <w:rPr/>
        <w:t>Responder rates (25%, 50%) were similar in both groups (</w:t>
      </w:r>
      <w:hyperlink w:history="true" w:anchor="_bookmark5">
        <w:r>
          <w:rPr>
            <w:color w:val="2B7CA5"/>
          </w:rPr>
          <w:t>Fig.  3</w:t>
        </w:r>
      </w:hyperlink>
      <w:r>
        <w:rPr/>
        <w:t>). The</w:t>
      </w:r>
      <w:r>
        <w:rPr>
          <w:spacing w:val="23"/>
        </w:rPr>
        <w:t> </w:t>
      </w:r>
      <w:r>
        <w:rPr/>
        <w:t>study</w:t>
      </w:r>
      <w:r>
        <w:rPr>
          <w:spacing w:val="24"/>
        </w:rPr>
        <w:t> </w:t>
      </w:r>
      <w:r>
        <w:rPr/>
        <w:t>failed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show</w:t>
      </w:r>
      <w:r>
        <w:rPr>
          <w:spacing w:val="22"/>
        </w:rPr>
        <w:t> </w:t>
      </w:r>
      <w:r>
        <w:rPr/>
        <w:t>superiority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25</w:t>
      </w:r>
      <w:r>
        <w:rPr>
          <w:spacing w:val="1"/>
        </w:rPr>
        <w:t> </w:t>
      </w:r>
      <w:r>
        <w:rPr/>
        <w:t>Hz</w:t>
      </w:r>
      <w:r>
        <w:rPr>
          <w:spacing w:val="23"/>
        </w:rPr>
        <w:t> </w:t>
      </w:r>
      <w:r>
        <w:rPr/>
        <w:t>tVNS</w:t>
      </w:r>
      <w:r>
        <w:rPr>
          <w:spacing w:val="24"/>
        </w:rPr>
        <w:t> </w:t>
      </w:r>
      <w:r>
        <w:rPr/>
        <w:t>over</w:t>
      </w:r>
      <w:r>
        <w:rPr>
          <w:spacing w:val="23"/>
        </w:rPr>
        <w:t> </w:t>
      </w:r>
      <w:r>
        <w:rPr/>
        <w:t>1 Hz</w:t>
      </w:r>
      <w:r>
        <w:rPr>
          <w:spacing w:val="23"/>
        </w:rPr>
        <w:t> </w:t>
      </w:r>
      <w:r>
        <w:rPr>
          <w:spacing w:val="-3"/>
        </w:rPr>
        <w:t>tVNS</w:t>
      </w:r>
    </w:p>
    <w:p>
      <w:pPr>
        <w:spacing w:after="0" w:line="266" w:lineRule="auto"/>
        <w:sectPr>
          <w:type w:val="continuous"/>
          <w:pgSz w:w="11910" w:h="15880"/>
          <w:pgMar w:top="380" w:bottom="280" w:left="640" w:right="640"/>
          <w:cols w:num="2" w:equalWidth="0">
            <w:col w:w="5174" w:space="206"/>
            <w:col w:w="5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36.1pt;height:.25pt;mso-position-horizontal-relative:char;mso-position-vertical-relative:line" coordorigin="0,0" coordsize="722,5">
            <v:line style="position:absolute" from="0,2" to="722,2" stroked="true" strokeweight=".248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80" w:lineRule="auto" w:before="29"/>
        <w:ind w:left="111" w:right="0" w:firstLine="128"/>
        <w:jc w:val="left"/>
        <w:rPr>
          <w:sz w:val="14"/>
        </w:rPr>
      </w:pPr>
      <w:bookmarkStart w:name="_bookmark2" w:id="10"/>
      <w:bookmarkEnd w:id="10"/>
      <w:r>
        <w:rPr/>
      </w:r>
      <w:r>
        <w:rPr>
          <w:rFonts w:ascii="Microsoft Sans Serif" w:hAnsi="Microsoft Sans Serif"/>
          <w:w w:val="125"/>
          <w:position w:val="6"/>
          <w:sz w:val="9"/>
        </w:rPr>
        <w:t>⁎ </w:t>
      </w:r>
      <w:r>
        <w:rPr>
          <w:w w:val="105"/>
          <w:sz w:val="14"/>
        </w:rPr>
        <w:t>Corresponding author at: Epilepsy Center Frankfurt Rhine-Main, Universitaetsklinikum Frankfurt, Klinik fuer Neurologie, Goethe-Universitaet Frankfurt, Schleusenweg 2-16, 60528 Frankfurt, Germany.</w:t>
      </w:r>
    </w:p>
    <w:p>
      <w:pPr>
        <w:spacing w:line="162" w:lineRule="exact" w:before="0"/>
        <w:ind w:left="339" w:right="0" w:firstLine="0"/>
        <w:jc w:val="left"/>
        <w:rPr>
          <w:sz w:val="14"/>
        </w:rPr>
      </w:pPr>
      <w:r>
        <w:rPr>
          <w:i/>
          <w:w w:val="105"/>
          <w:sz w:val="14"/>
        </w:rPr>
        <w:t>E-mail address: </w:t>
      </w:r>
      <w:hyperlink r:id="rId11">
        <w:r>
          <w:rPr>
            <w:color w:val="2B7CA5"/>
            <w:w w:val="105"/>
            <w:sz w:val="14"/>
          </w:rPr>
          <w:t>S.Bauer@med.uni-frankfurt.de</w:t>
        </w:r>
      </w:hyperlink>
      <w:r>
        <w:rPr>
          <w:color w:val="2B7CA5"/>
          <w:w w:val="105"/>
          <w:sz w:val="14"/>
        </w:rPr>
        <w:t> </w:t>
      </w:r>
      <w:r>
        <w:rPr>
          <w:w w:val="105"/>
          <w:sz w:val="14"/>
        </w:rPr>
        <w:t>(S. Bauer).</w:t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111" w:right="0" w:firstLine="0"/>
        <w:jc w:val="left"/>
        <w:rPr>
          <w:sz w:val="14"/>
        </w:rPr>
      </w:pPr>
      <w:r>
        <w:rPr/>
        <w:pict>
          <v:shape style="position:absolute;margin-left:37.590pt;margin-top:7.041659pt;width:107.65pt;height:26.6pt;mso-position-horizontal-relative:page;mso-position-vertical-relative:paragraph;z-index:-7072" type="#_x0000_t202" filled="false" stroked="false">
            <v:textbox inset="0,0,0,0">
              <w:txbxContent>
                <w:p>
                  <w:pPr>
                    <w:spacing w:before="243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pacing w:val="-102"/>
                      <w:w w:val="196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80"/>
                      <w:w w:val="222"/>
                      <w:sz w:val="14"/>
                    </w:rPr>
                    <w:t>v</w:t>
                  </w:r>
                  <w:r>
                    <w:rPr>
                      <w:rFonts w:ascii="Times New Roman"/>
                      <w:spacing w:val="-77"/>
                      <w:w w:val="241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46"/>
                      <w:w w:val="229"/>
                      <w:sz w:val="14"/>
                    </w:rPr>
                    <w:t>i</w:t>
                  </w:r>
                  <w:r>
                    <w:rPr>
                      <w:rFonts w:ascii="Times New Roman"/>
                      <w:spacing w:val="-46"/>
                      <w:w w:val="225"/>
                      <w:sz w:val="14"/>
                    </w:rPr>
                    <w:t>l</w:t>
                  </w:r>
                  <w:r>
                    <w:rPr>
                      <w:rFonts w:ascii="Times New Roman"/>
                      <w:spacing w:val="-77"/>
                      <w:w w:val="241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84"/>
                      <w:w w:val="233"/>
                      <w:sz w:val="14"/>
                    </w:rPr>
                    <w:t>b</w:t>
                  </w:r>
                  <w:r>
                    <w:rPr>
                      <w:rFonts w:ascii="Times New Roman"/>
                      <w:spacing w:val="-45"/>
                      <w:w w:val="225"/>
                      <w:sz w:val="14"/>
                    </w:rPr>
                    <w:t>l</w:t>
                  </w:r>
                  <w:r>
                    <w:rPr>
                      <w:rFonts w:ascii="Times New Roman"/>
                      <w:spacing w:val="-32"/>
                      <w:w w:val="232"/>
                      <w:sz w:val="14"/>
                    </w:rPr>
                    <w:t>e</w:t>
                  </w:r>
                  <w:r>
                    <w:rPr>
                      <w:rFonts w:ascii="Times New Roman"/>
                      <w:spacing w:val="-83"/>
                      <w:w w:val="229"/>
                      <w:sz w:val="14"/>
                    </w:rPr>
                    <w:t>o</w:t>
                  </w:r>
                  <w:r>
                    <w:rPr>
                      <w:rFonts w:ascii="Times New Roman"/>
                      <w:spacing w:val="-86"/>
                      <w:w w:val="238"/>
                      <w:sz w:val="14"/>
                    </w:rPr>
                    <w:t>n</w:t>
                  </w:r>
                  <w:r>
                    <w:rPr>
                      <w:rFonts w:ascii="Times New Roman"/>
                      <w:spacing w:val="-45"/>
                      <w:w w:val="225"/>
                      <w:sz w:val="14"/>
                    </w:rPr>
                    <w:t>l</w:t>
                  </w:r>
                  <w:r>
                    <w:rPr>
                      <w:rFonts w:ascii="Times New Roman"/>
                      <w:spacing w:val="-45"/>
                      <w:w w:val="229"/>
                      <w:sz w:val="14"/>
                    </w:rPr>
                    <w:t>i</w:t>
                  </w:r>
                  <w:r>
                    <w:rPr>
                      <w:rFonts w:ascii="Times New Roman"/>
                      <w:spacing w:val="-86"/>
                      <w:w w:val="238"/>
                      <w:sz w:val="14"/>
                    </w:rPr>
                    <w:t>n</w:t>
                  </w:r>
                  <w:r>
                    <w:rPr>
                      <w:rFonts w:ascii="Times New Roman"/>
                      <w:spacing w:val="-32"/>
                      <w:w w:val="232"/>
                      <w:sz w:val="14"/>
                    </w:rPr>
                    <w:t>e</w:t>
                  </w:r>
                  <w:r>
                    <w:rPr>
                      <w:rFonts w:ascii="Times New Roman"/>
                      <w:spacing w:val="-85"/>
                      <w:w w:val="237"/>
                      <w:sz w:val="14"/>
                    </w:rPr>
                    <w:t>2</w:t>
                  </w:r>
                  <w:r>
                    <w:rPr>
                      <w:rFonts w:ascii="Times New Roman"/>
                      <w:spacing w:val="-43"/>
                      <w:w w:val="237"/>
                      <w:sz w:val="14"/>
                    </w:rPr>
                    <w:t>6</w:t>
                  </w:r>
                  <w:r>
                    <w:rPr>
                      <w:rFonts w:ascii="Times New Roman"/>
                      <w:spacing w:val="-82"/>
                      <w:w w:val="204"/>
                      <w:sz w:val="14"/>
                    </w:rPr>
                    <w:t>F</w:t>
                  </w:r>
                  <w:r>
                    <w:rPr>
                      <w:rFonts w:ascii="Times New Roman"/>
                      <w:spacing w:val="-75"/>
                      <w:w w:val="232"/>
                      <w:sz w:val="14"/>
                    </w:rPr>
                    <w:t>e</w:t>
                  </w:r>
                  <w:r>
                    <w:rPr>
                      <w:rFonts w:ascii="Times New Roman"/>
                      <w:spacing w:val="-84"/>
                      <w:w w:val="233"/>
                      <w:sz w:val="14"/>
                    </w:rPr>
                    <w:t>b</w:t>
                  </w:r>
                  <w:r>
                    <w:rPr>
                      <w:rFonts w:ascii="Times New Roman"/>
                      <w:spacing w:val="-60"/>
                      <w:w w:val="247"/>
                      <w:sz w:val="14"/>
                    </w:rPr>
                    <w:t>r</w:t>
                  </w:r>
                  <w:r>
                    <w:rPr>
                      <w:rFonts w:ascii="Times New Roman"/>
                      <w:spacing w:val="-86"/>
                      <w:w w:val="239"/>
                      <w:sz w:val="14"/>
                    </w:rPr>
                    <w:t>u</w:t>
                  </w:r>
                  <w:r>
                    <w:rPr>
                      <w:rFonts w:ascii="Times New Roman"/>
                      <w:spacing w:val="-77"/>
                      <w:w w:val="241"/>
                      <w:sz w:val="14"/>
                    </w:rPr>
                    <w:t>a</w:t>
                  </w:r>
                  <w:r>
                    <w:rPr>
                      <w:rFonts w:ascii="Times New Roman"/>
                      <w:spacing w:val="-60"/>
                      <w:w w:val="247"/>
                      <w:sz w:val="14"/>
                    </w:rPr>
                    <w:t>r</w:t>
                  </w:r>
                  <w:r>
                    <w:rPr>
                      <w:rFonts w:ascii="Times New Roman"/>
                      <w:spacing w:val="-38"/>
                      <w:w w:val="223"/>
                      <w:sz w:val="14"/>
                    </w:rPr>
                    <w:t>y</w:t>
                  </w:r>
                  <w:r>
                    <w:rPr>
                      <w:rFonts w:ascii="Times New Roman"/>
                      <w:spacing w:val="-85"/>
                      <w:w w:val="237"/>
                      <w:sz w:val="14"/>
                    </w:rPr>
                    <w:t>201</w:t>
                  </w:r>
                  <w:r>
                    <w:rPr>
                      <w:rFonts w:ascii="Times New Roman"/>
                      <w:spacing w:val="-158"/>
                      <w:w w:val="237"/>
                      <w:sz w:val="14"/>
                    </w:rPr>
                    <w:t>9</w:t>
                  </w:r>
                </w:p>
              </w:txbxContent>
            </v:textbox>
            <w10:wrap type="none"/>
          </v:shape>
        </w:pict>
      </w:r>
      <w:hyperlink r:id="rId9">
        <w:r>
          <w:rPr>
            <w:color w:val="2B7CA5"/>
            <w:w w:val="105"/>
            <w:sz w:val="14"/>
          </w:rPr>
          <w:t>https://doi.org/10.1016/j.eplepsyres.2019.02.015</w:t>
        </w:r>
      </w:hyperlink>
    </w:p>
    <w:p>
      <w:pPr>
        <w:spacing w:before="27"/>
        <w:ind w:left="111" w:right="0" w:firstLine="0"/>
        <w:jc w:val="left"/>
        <w:rPr>
          <w:sz w:val="14"/>
        </w:rPr>
      </w:pPr>
      <w:r>
        <w:rPr>
          <w:w w:val="105"/>
          <w:sz w:val="14"/>
        </w:rPr>
        <w:t>Received 28 December 2018; Received in revised form 25 February 2019; Accepted 25 February 2019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11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85"/>
          <w:w w:val="237"/>
          <w:sz w:val="14"/>
        </w:rPr>
        <w:t>0920</w:t>
      </w:r>
      <w:r>
        <w:rPr>
          <w:rFonts w:ascii="Times New Roman" w:hAnsi="Times New Roman"/>
          <w:spacing w:val="-49"/>
          <w:w w:val="202"/>
          <w:sz w:val="14"/>
        </w:rPr>
        <w:t>-</w:t>
      </w:r>
      <w:r>
        <w:rPr>
          <w:rFonts w:ascii="Times New Roman" w:hAnsi="Times New Roman"/>
          <w:spacing w:val="-85"/>
          <w:w w:val="237"/>
          <w:sz w:val="14"/>
        </w:rPr>
        <w:t>1211</w:t>
      </w:r>
      <w:r>
        <w:rPr>
          <w:rFonts w:ascii="Times New Roman" w:hAnsi="Times New Roman"/>
          <w:spacing w:val="-32"/>
          <w:w w:val="371"/>
          <w:sz w:val="14"/>
        </w:rPr>
        <w:t>/</w:t>
      </w:r>
      <w:r>
        <w:rPr>
          <w:rFonts w:ascii="Times New Roman" w:hAnsi="Times New Roman"/>
          <w:spacing w:val="-85"/>
          <w:w w:val="232"/>
          <w:sz w:val="14"/>
        </w:rPr>
        <w:t>©</w:t>
      </w:r>
      <w:r>
        <w:rPr>
          <w:rFonts w:ascii="Times New Roman" w:hAnsi="Times New Roman"/>
          <w:spacing w:val="-85"/>
          <w:w w:val="237"/>
          <w:sz w:val="14"/>
        </w:rPr>
        <w:t>201</w:t>
      </w:r>
      <w:r>
        <w:rPr>
          <w:rFonts w:ascii="Times New Roman" w:hAnsi="Times New Roman"/>
          <w:spacing w:val="-43"/>
          <w:w w:val="237"/>
          <w:sz w:val="14"/>
        </w:rPr>
        <w:t>9</w:t>
      </w:r>
      <w:r>
        <w:rPr>
          <w:rFonts w:ascii="Times New Roman" w:hAnsi="Times New Roman"/>
          <w:spacing w:val="-88"/>
          <w:w w:val="219"/>
          <w:sz w:val="14"/>
        </w:rPr>
        <w:t>P</w:t>
      </w:r>
      <w:r>
        <w:rPr>
          <w:rFonts w:ascii="Times New Roman" w:hAnsi="Times New Roman"/>
          <w:spacing w:val="-86"/>
          <w:w w:val="239"/>
          <w:sz w:val="14"/>
        </w:rPr>
        <w:t>u</w:t>
      </w:r>
      <w:r>
        <w:rPr>
          <w:rFonts w:ascii="Times New Roman" w:hAnsi="Times New Roman"/>
          <w:spacing w:val="-84"/>
          <w:w w:val="233"/>
          <w:sz w:val="14"/>
        </w:rPr>
        <w:t>b</w:t>
      </w:r>
      <w:r>
        <w:rPr>
          <w:rFonts w:ascii="Times New Roman" w:hAnsi="Times New Roman"/>
          <w:spacing w:val="-45"/>
          <w:w w:val="227"/>
          <w:sz w:val="14"/>
        </w:rPr>
        <w:t>li</w:t>
      </w:r>
      <w:r>
        <w:rPr>
          <w:rFonts w:ascii="Times New Roman" w:hAnsi="Times New Roman"/>
          <w:spacing w:val="-61"/>
          <w:w w:val="215"/>
          <w:sz w:val="14"/>
        </w:rPr>
        <w:t>s</w:t>
      </w:r>
      <w:r>
        <w:rPr>
          <w:rFonts w:ascii="Times New Roman" w:hAnsi="Times New Roman"/>
          <w:spacing w:val="-87"/>
          <w:w w:val="241"/>
          <w:sz w:val="14"/>
        </w:rPr>
        <w:t>h</w:t>
      </w:r>
      <w:r>
        <w:rPr>
          <w:rFonts w:ascii="Times New Roman" w:hAnsi="Times New Roman"/>
          <w:spacing w:val="-75"/>
          <w:w w:val="232"/>
          <w:sz w:val="14"/>
        </w:rPr>
        <w:t>e</w:t>
      </w:r>
      <w:r>
        <w:rPr>
          <w:rFonts w:ascii="Times New Roman" w:hAnsi="Times New Roman"/>
          <w:spacing w:val="-43"/>
          <w:w w:val="237"/>
          <w:sz w:val="14"/>
        </w:rPr>
        <w:t>d</w:t>
      </w:r>
      <w:r>
        <w:rPr>
          <w:rFonts w:ascii="Times New Roman" w:hAnsi="Times New Roman"/>
          <w:spacing w:val="-84"/>
          <w:w w:val="233"/>
          <w:sz w:val="14"/>
        </w:rPr>
        <w:t>b</w:t>
      </w:r>
      <w:r>
        <w:rPr>
          <w:rFonts w:ascii="Times New Roman" w:hAnsi="Times New Roman"/>
          <w:spacing w:val="-38"/>
          <w:w w:val="223"/>
          <w:sz w:val="14"/>
        </w:rPr>
        <w:t>y</w:t>
      </w:r>
      <w:r>
        <w:rPr>
          <w:rFonts w:ascii="Times New Roman" w:hAnsi="Times New Roman"/>
          <w:spacing w:val="-88"/>
          <w:w w:val="201"/>
          <w:sz w:val="14"/>
        </w:rPr>
        <w:t>E</w:t>
      </w:r>
      <w:r>
        <w:rPr>
          <w:rFonts w:ascii="Times New Roman" w:hAnsi="Times New Roman"/>
          <w:spacing w:val="-45"/>
          <w:w w:val="225"/>
          <w:sz w:val="14"/>
        </w:rPr>
        <w:t>l</w:t>
      </w:r>
      <w:r>
        <w:rPr>
          <w:rFonts w:ascii="Times New Roman" w:hAnsi="Times New Roman"/>
          <w:spacing w:val="-61"/>
          <w:w w:val="215"/>
          <w:sz w:val="14"/>
        </w:rPr>
        <w:t>s</w:t>
      </w:r>
      <w:r>
        <w:rPr>
          <w:rFonts w:ascii="Times New Roman" w:hAnsi="Times New Roman"/>
          <w:spacing w:val="-75"/>
          <w:w w:val="232"/>
          <w:sz w:val="14"/>
        </w:rPr>
        <w:t>e</w:t>
      </w:r>
      <w:r>
        <w:rPr>
          <w:rFonts w:ascii="Times New Roman" w:hAnsi="Times New Roman"/>
          <w:spacing w:val="-80"/>
          <w:w w:val="222"/>
          <w:sz w:val="14"/>
        </w:rPr>
        <w:t>v</w:t>
      </w:r>
      <w:r>
        <w:rPr>
          <w:rFonts w:ascii="Times New Roman" w:hAnsi="Times New Roman"/>
          <w:spacing w:val="-46"/>
          <w:w w:val="229"/>
          <w:sz w:val="14"/>
        </w:rPr>
        <w:t>i</w:t>
      </w:r>
      <w:r>
        <w:rPr>
          <w:rFonts w:ascii="Times New Roman" w:hAnsi="Times New Roman"/>
          <w:spacing w:val="-75"/>
          <w:w w:val="232"/>
          <w:sz w:val="14"/>
        </w:rPr>
        <w:t>e</w:t>
      </w:r>
      <w:r>
        <w:rPr>
          <w:rFonts w:ascii="Times New Roman" w:hAnsi="Times New Roman"/>
          <w:spacing w:val="-17"/>
          <w:w w:val="247"/>
          <w:sz w:val="14"/>
        </w:rPr>
        <w:t>r</w:t>
      </w:r>
      <w:r>
        <w:rPr>
          <w:rFonts w:ascii="Times New Roman" w:hAnsi="Times New Roman"/>
          <w:spacing w:val="-92"/>
          <w:w w:val="191"/>
          <w:sz w:val="14"/>
        </w:rPr>
        <w:t>B</w:t>
      </w:r>
      <w:r>
        <w:rPr>
          <w:rFonts w:ascii="Times New Roman" w:hAnsi="Times New Roman"/>
          <w:spacing w:val="-43"/>
          <w:w w:val="235"/>
          <w:sz w:val="14"/>
        </w:rPr>
        <w:t>.</w:t>
      </w:r>
      <w:r>
        <w:rPr>
          <w:rFonts w:ascii="Times New Roman" w:hAnsi="Times New Roman"/>
          <w:spacing w:val="-101"/>
          <w:w w:val="194"/>
          <w:sz w:val="14"/>
        </w:rPr>
        <w:t>V</w:t>
      </w:r>
      <w:r>
        <w:rPr>
          <w:rFonts w:ascii="Times New Roman" w:hAnsi="Times New Roman"/>
          <w:w w:val="235"/>
          <w:sz w:val="14"/>
        </w:rPr>
        <w:t>.</w:t>
      </w:r>
    </w:p>
    <w:p>
      <w:pPr>
        <w:spacing w:after="0"/>
        <w:jc w:val="left"/>
        <w:rPr>
          <w:rFonts w:ascii="Times New Roman" w:hAnsi="Times New Roman"/>
          <w:sz w:val="14"/>
        </w:rPr>
        <w:sectPr>
          <w:type w:val="continuous"/>
          <w:pgSz w:w="11910" w:h="15880"/>
          <w:pgMar w:top="380" w:bottom="280" w:left="640" w:right="640"/>
        </w:sectPr>
      </w:pPr>
    </w:p>
    <w:p>
      <w:pPr>
        <w:tabs>
          <w:tab w:pos="8498" w:val="left" w:leader="none"/>
        </w:tabs>
        <w:spacing w:before="284"/>
        <w:ind w:left="111" w:right="0" w:firstLine="0"/>
        <w:jc w:val="left"/>
        <w:rPr>
          <w:rFonts w:ascii="Times New Roman" w:hAnsi="Times New Roman"/>
          <w:i/>
          <w:sz w:val="13"/>
        </w:rPr>
      </w:pPr>
      <w:r>
        <w:rPr>
          <w:i/>
          <w:w w:val="122"/>
          <w:sz w:val="12"/>
        </w:rPr>
        <w:t>H.M.</w:t>
      </w:r>
      <w:r>
        <w:rPr>
          <w:i/>
          <w:sz w:val="12"/>
        </w:rPr>
        <w:t> </w:t>
      </w:r>
      <w:r>
        <w:rPr>
          <w:i/>
          <w:spacing w:val="-10"/>
          <w:sz w:val="12"/>
        </w:rPr>
        <w:t> </w:t>
      </w:r>
      <w:r>
        <w:rPr>
          <w:i/>
          <w:w w:val="105"/>
          <w:sz w:val="12"/>
        </w:rPr>
        <w:t>Hamer</w:t>
      </w:r>
      <w:r>
        <w:rPr>
          <w:i/>
          <w:sz w:val="12"/>
        </w:rPr>
        <w:t> </w:t>
      </w:r>
      <w:r>
        <w:rPr>
          <w:i/>
          <w:spacing w:val="-10"/>
          <w:sz w:val="12"/>
        </w:rPr>
        <w:t> </w:t>
      </w:r>
      <w:r>
        <w:rPr>
          <w:i/>
          <w:w w:val="105"/>
          <w:sz w:val="12"/>
        </w:rPr>
        <w:t>and</w:t>
      </w:r>
      <w:r>
        <w:rPr>
          <w:i/>
          <w:sz w:val="12"/>
        </w:rPr>
        <w:t> </w:t>
      </w:r>
      <w:r>
        <w:rPr>
          <w:i/>
          <w:spacing w:val="-10"/>
          <w:sz w:val="12"/>
        </w:rPr>
        <w:t> </w:t>
      </w:r>
      <w:r>
        <w:rPr>
          <w:i/>
          <w:w w:val="124"/>
          <w:sz w:val="12"/>
        </w:rPr>
        <w:t>S.</w:t>
      </w:r>
      <w:r>
        <w:rPr>
          <w:i/>
          <w:sz w:val="12"/>
        </w:rPr>
        <w:t> </w:t>
      </w:r>
      <w:r>
        <w:rPr>
          <w:i/>
          <w:spacing w:val="-11"/>
          <w:sz w:val="12"/>
        </w:rPr>
        <w:t> </w:t>
      </w:r>
      <w:r>
        <w:rPr>
          <w:i/>
          <w:w w:val="103"/>
          <w:sz w:val="12"/>
        </w:rPr>
        <w:t>Bauer</w:t>
      </w:r>
      <w:r>
        <w:rPr>
          <w:i/>
          <w:sz w:val="12"/>
        </w:rPr>
        <w:tab/>
      </w:r>
      <w:r>
        <w:rPr>
          <w:rFonts w:ascii="Times New Roman" w:hAnsi="Times New Roman"/>
          <w:i/>
          <w:spacing w:val="-75"/>
          <w:w w:val="184"/>
          <w:sz w:val="13"/>
        </w:rPr>
        <w:t>E</w:t>
      </w:r>
      <w:r>
        <w:rPr>
          <w:rFonts w:ascii="Times New Roman" w:hAnsi="Times New Roman"/>
          <w:i/>
          <w:spacing w:val="-67"/>
          <w:w w:val="199"/>
          <w:sz w:val="13"/>
        </w:rPr>
        <w:t>p</w:t>
      </w:r>
      <w:r>
        <w:rPr>
          <w:rFonts w:ascii="Times New Roman" w:hAnsi="Times New Roman"/>
          <w:i/>
          <w:spacing w:val="-36"/>
          <w:w w:val="192"/>
          <w:sz w:val="13"/>
        </w:rPr>
        <w:t>il</w:t>
      </w:r>
      <w:r>
        <w:rPr>
          <w:rFonts w:ascii="Times New Roman" w:hAnsi="Times New Roman"/>
          <w:i/>
          <w:spacing w:val="-59"/>
          <w:w w:val="197"/>
          <w:sz w:val="13"/>
        </w:rPr>
        <w:t>e</w:t>
      </w:r>
      <w:r>
        <w:rPr>
          <w:rFonts w:ascii="Times New Roman" w:hAnsi="Times New Roman"/>
          <w:i/>
          <w:spacing w:val="-67"/>
          <w:w w:val="199"/>
          <w:sz w:val="13"/>
        </w:rPr>
        <w:t>p</w:t>
      </w:r>
      <w:r>
        <w:rPr>
          <w:rFonts w:ascii="Times New Roman" w:hAnsi="Times New Roman"/>
          <w:i/>
          <w:spacing w:val="-50"/>
          <w:w w:val="191"/>
          <w:sz w:val="13"/>
        </w:rPr>
        <w:t>s</w:t>
      </w:r>
      <w:r>
        <w:rPr>
          <w:rFonts w:ascii="Times New Roman" w:hAnsi="Times New Roman"/>
          <w:i/>
          <w:spacing w:val="-30"/>
          <w:w w:val="225"/>
          <w:sz w:val="13"/>
        </w:rPr>
        <w:t>y</w:t>
      </w:r>
      <w:r>
        <w:rPr>
          <w:rFonts w:ascii="Times New Roman" w:hAnsi="Times New Roman"/>
          <w:i/>
          <w:spacing w:val="-87"/>
          <w:w w:val="211"/>
          <w:sz w:val="13"/>
        </w:rPr>
        <w:t>R</w:t>
      </w:r>
      <w:r>
        <w:rPr>
          <w:rFonts w:ascii="Times New Roman" w:hAnsi="Times New Roman"/>
          <w:i/>
          <w:spacing w:val="-59"/>
          <w:w w:val="197"/>
          <w:sz w:val="13"/>
        </w:rPr>
        <w:t>e</w:t>
      </w:r>
      <w:r>
        <w:rPr>
          <w:rFonts w:ascii="Times New Roman" w:hAnsi="Times New Roman"/>
          <w:i/>
          <w:spacing w:val="-50"/>
          <w:w w:val="191"/>
          <w:sz w:val="13"/>
        </w:rPr>
        <w:t>s</w:t>
      </w:r>
      <w:r>
        <w:rPr>
          <w:rFonts w:ascii="Times New Roman" w:hAnsi="Times New Roman"/>
          <w:i/>
          <w:spacing w:val="-59"/>
          <w:w w:val="197"/>
          <w:sz w:val="13"/>
        </w:rPr>
        <w:t>e</w:t>
      </w:r>
      <w:r>
        <w:rPr>
          <w:rFonts w:ascii="Times New Roman" w:hAnsi="Times New Roman"/>
          <w:i/>
          <w:spacing w:val="-70"/>
          <w:w w:val="210"/>
          <w:sz w:val="13"/>
        </w:rPr>
        <w:t>a</w:t>
      </w:r>
      <w:r>
        <w:rPr>
          <w:rFonts w:ascii="Times New Roman" w:hAnsi="Times New Roman"/>
          <w:i/>
          <w:spacing w:val="-51"/>
          <w:w w:val="193"/>
          <w:sz w:val="13"/>
        </w:rPr>
        <w:t>r</w:t>
      </w:r>
      <w:r>
        <w:rPr>
          <w:rFonts w:ascii="Times New Roman" w:hAnsi="Times New Roman"/>
          <w:i/>
          <w:spacing w:val="-59"/>
          <w:w w:val="197"/>
          <w:sz w:val="13"/>
        </w:rPr>
        <w:t>c</w:t>
      </w:r>
      <w:r>
        <w:rPr>
          <w:rFonts w:ascii="Times New Roman" w:hAnsi="Times New Roman"/>
          <w:i/>
          <w:spacing w:val="-33"/>
          <w:w w:val="211"/>
          <w:sz w:val="13"/>
        </w:rPr>
        <w:t>h</w:t>
      </w:r>
      <w:r>
        <w:rPr>
          <w:rFonts w:ascii="Times New Roman" w:hAnsi="Times New Roman"/>
          <w:i/>
          <w:spacing w:val="-75"/>
          <w:w w:val="224"/>
          <w:sz w:val="13"/>
        </w:rPr>
        <w:t>15</w:t>
      </w:r>
      <w:r>
        <w:rPr>
          <w:rFonts w:ascii="Times New Roman" w:hAnsi="Times New Roman"/>
          <w:i/>
          <w:spacing w:val="-38"/>
          <w:w w:val="224"/>
          <w:sz w:val="13"/>
        </w:rPr>
        <w:t>3</w:t>
      </w:r>
      <w:r>
        <w:rPr>
          <w:rFonts w:ascii="Times New Roman" w:hAnsi="Times New Roman"/>
          <w:i/>
          <w:spacing w:val="-57"/>
          <w:w w:val="253"/>
          <w:sz w:val="13"/>
        </w:rPr>
        <w:t>(</w:t>
      </w:r>
      <w:r>
        <w:rPr>
          <w:rFonts w:ascii="Times New Roman" w:hAnsi="Times New Roman"/>
          <w:i/>
          <w:spacing w:val="-75"/>
          <w:w w:val="224"/>
          <w:sz w:val="13"/>
        </w:rPr>
        <w:t>2019</w:t>
      </w:r>
      <w:r>
        <w:rPr>
          <w:rFonts w:ascii="Times New Roman" w:hAnsi="Times New Roman"/>
          <w:i/>
          <w:spacing w:val="-19"/>
          <w:w w:val="253"/>
          <w:sz w:val="13"/>
        </w:rPr>
        <w:t>)</w:t>
      </w:r>
      <w:r>
        <w:rPr>
          <w:rFonts w:ascii="Times New Roman" w:hAnsi="Times New Roman"/>
          <w:i/>
          <w:spacing w:val="-75"/>
          <w:w w:val="224"/>
          <w:sz w:val="13"/>
        </w:rPr>
        <w:t>83</w:t>
      </w:r>
      <w:r>
        <w:rPr>
          <w:rFonts w:ascii="Times New Roman" w:hAnsi="Times New Roman"/>
          <w:i/>
          <w:spacing w:val="-67"/>
          <w:w w:val="201"/>
          <w:sz w:val="13"/>
        </w:rPr>
        <w:t>–</w:t>
      </w:r>
      <w:r>
        <w:rPr>
          <w:rFonts w:ascii="Times New Roman" w:hAnsi="Times New Roman"/>
          <w:i/>
          <w:spacing w:val="-75"/>
          <w:w w:val="224"/>
          <w:sz w:val="13"/>
        </w:rPr>
        <w:t>84</w:t>
      </w:r>
    </w:p>
    <w:p>
      <w:pPr>
        <w:pStyle w:val="BodyText"/>
        <w:spacing w:line="266" w:lineRule="auto" w:before="283"/>
        <w:ind w:left="5491" w:right="143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863993</wp:posOffset>
            </wp:positionH>
            <wp:positionV relativeFrom="paragraph">
              <wp:posOffset>173323</wp:posOffset>
            </wp:positionV>
            <wp:extent cx="2415603" cy="1621421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603" cy="162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3" w:id="11"/>
      <w:bookmarkEnd w:id="11"/>
      <w:r>
        <w:rPr/>
      </w:r>
      <w:r>
        <w:rPr/>
        <w:t>moderate but signi</w:t>
      </w:r>
      <w:r>
        <w:rPr>
          <w:rFonts w:ascii="Arial" w:hAnsi="Arial"/>
        </w:rPr>
        <w:t>ﬁ</w:t>
      </w:r>
      <w:r>
        <w:rPr/>
        <w:t>cant  seizure  reduction  rate  of  23.4%  within  </w:t>
      </w:r>
      <w:r>
        <w:rPr>
          <w:spacing w:val="-4"/>
        </w:rPr>
        <w:t>the  </w:t>
      </w:r>
      <w:r>
        <w:rPr/>
        <w:t>25 Hz per-protocol</w:t>
      </w:r>
      <w:r>
        <w:rPr>
          <w:spacing w:val="-2"/>
        </w:rPr>
        <w:t> </w:t>
      </w:r>
      <w:r>
        <w:rPr/>
        <w:t>group.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717" w:val="left" w:leader="none"/>
        </w:tabs>
        <w:spacing w:line="240" w:lineRule="auto" w:before="0" w:after="0"/>
        <w:ind w:left="5716" w:right="0" w:hanging="225"/>
        <w:jc w:val="left"/>
        <w:rPr>
          <w:sz w:val="16"/>
        </w:rPr>
      </w:pPr>
      <w:bookmarkStart w:name="Tolerability and safety" w:id="12"/>
      <w:bookmarkEnd w:id="12"/>
      <w:r>
        <w:rPr/>
      </w:r>
      <w:bookmarkStart w:name="Tolerability and safety" w:id="13"/>
      <w:bookmarkEnd w:id="13"/>
      <w:r>
        <w:rPr>
          <w:w w:val="105"/>
          <w:sz w:val="16"/>
        </w:rPr>
        <w:t>Tolerability</w:t>
      </w:r>
      <w:r>
        <w:rPr>
          <w:w w:val="105"/>
          <w:sz w:val="16"/>
        </w:rPr>
        <w:t> and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safety</w:t>
      </w:r>
    </w:p>
    <w:p>
      <w:pPr>
        <w:pStyle w:val="BodyText"/>
        <w:spacing w:before="2"/>
        <w:rPr>
          <w:rFonts w:ascii="Palatino Linotype"/>
        </w:rPr>
      </w:pPr>
    </w:p>
    <w:p>
      <w:pPr>
        <w:pStyle w:val="BodyText"/>
        <w:spacing w:line="268" w:lineRule="auto" w:before="1"/>
        <w:ind w:left="5491" w:right="110" w:firstLine="249"/>
        <w:jc w:val="both"/>
      </w:pPr>
      <w:r>
        <w:rPr/>
        <w:t>Adverse events were usually mild or moderate and comprised headache (1 Hz: 35.9%; 25 Hz:32.4%), ear pain 1 Hz: 7.7%, 25 </w:t>
      </w:r>
      <w:r>
        <w:rPr>
          <w:spacing w:val="-4"/>
        </w:rPr>
        <w:t>Hz: </w:t>
      </w:r>
      <w:r>
        <w:rPr/>
        <w:t>16.2%), application  site  erythema  (1 Hz:2.6%;  25 Hz:  8.1%),  vertigo  (1 Hz: 7.7%; 25 Hz: 10.8%), fatigue (1 Hz: 12.8%; 25 Hz: 2.7%),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spacing w:line="268" w:lineRule="auto"/>
        <w:ind w:left="5491"/>
      </w:pPr>
      <w:r>
        <w:rPr>
          <w:w w:val="105"/>
        </w:rPr>
        <w:t>nausea (1 Hz: 7.7%; 25 Hz: 8.1%). One sudden unexplained death in epilepsy (SUDEP) occurred in the 1 Hz group.</w:t>
      </w:r>
    </w:p>
    <w:p>
      <w:pPr>
        <w:spacing w:after="0" w:line="268" w:lineRule="auto"/>
        <w:sectPr>
          <w:pgSz w:w="11910" w:h="15880"/>
          <w:pgMar w:top="420" w:bottom="280" w:left="640" w:right="640"/>
        </w:sectPr>
      </w:pPr>
    </w:p>
    <w:p>
      <w:pPr>
        <w:pStyle w:val="BodyText"/>
        <w:rPr>
          <w:sz w:val="18"/>
        </w:rPr>
      </w:pPr>
    </w:p>
    <w:p>
      <w:pPr>
        <w:spacing w:line="268" w:lineRule="auto" w:before="146"/>
        <w:ind w:left="111" w:right="38" w:firstLine="0"/>
        <w:jc w:val="both"/>
        <w:rPr>
          <w:sz w:val="14"/>
        </w:rPr>
      </w:pPr>
      <w:r>
        <w:rPr>
          <w:rFonts w:ascii="Palatino Linotype" w:hAnsi="Palatino Linotype"/>
          <w:w w:val="105"/>
          <w:sz w:val="14"/>
        </w:rPr>
        <w:t>Fig. 1. </w:t>
      </w:r>
      <w:r>
        <w:rPr>
          <w:w w:val="105"/>
          <w:sz w:val="14"/>
        </w:rPr>
        <w:t>tVNS device NEMOS</w:t>
      </w:r>
      <w:r>
        <w:rPr>
          <w:rFonts w:ascii="Calibri" w:hAnsi="Calibri"/>
          <w:w w:val="105"/>
          <w:sz w:val="14"/>
        </w:rPr>
        <w:t>®</w:t>
      </w:r>
      <w:r>
        <w:rPr>
          <w:w w:val="105"/>
          <w:sz w:val="14"/>
        </w:rPr>
        <w:t>. Left side: programmable stimulation device and ear electrode. Right side: placement of ear electrode in the ear conch; </w:t>
      </w:r>
      <w:r>
        <w:rPr>
          <w:spacing w:val="-3"/>
          <w:w w:val="105"/>
          <w:sz w:val="14"/>
        </w:rPr>
        <w:t>taken </w:t>
      </w:r>
      <w:r>
        <w:rPr>
          <w:w w:val="105"/>
          <w:sz w:val="14"/>
        </w:rPr>
        <w:t>from (</w:t>
      </w:r>
      <w:hyperlink w:history="true" w:anchor="_bookmark6">
        <w:r>
          <w:rPr>
            <w:color w:val="2B7CA5"/>
            <w:w w:val="105"/>
            <w:sz w:val="14"/>
          </w:rPr>
          <w:t>Bauer</w:t>
        </w:r>
        <w:r>
          <w:rPr>
            <w:color w:val="2B7CA5"/>
            <w:spacing w:val="31"/>
            <w:w w:val="105"/>
            <w:sz w:val="14"/>
          </w:rPr>
          <w:t> </w:t>
        </w:r>
        <w:r>
          <w:rPr>
            <w:color w:val="2B7CA5"/>
            <w:w w:val="105"/>
            <w:sz w:val="14"/>
          </w:rPr>
          <w:t>et al., 2016</w:t>
        </w:r>
      </w:hyperlink>
      <w:r>
        <w:rPr>
          <w:w w:val="105"/>
          <w:sz w:val="14"/>
        </w:rPr>
        <w:t>).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700557</wp:posOffset>
            </wp:positionH>
            <wp:positionV relativeFrom="paragraph">
              <wp:posOffset>174705</wp:posOffset>
            </wp:positionV>
            <wp:extent cx="2743923" cy="1325879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23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 w:before="88"/>
        <w:ind w:left="111" w:right="38" w:firstLine="0"/>
        <w:jc w:val="both"/>
        <w:rPr>
          <w:sz w:val="14"/>
        </w:rPr>
      </w:pPr>
      <w:bookmarkStart w:name="_bookmark4" w:id="14"/>
      <w:bookmarkEnd w:id="14"/>
      <w:r>
        <w:rPr/>
      </w:r>
      <w:r>
        <w:rPr>
          <w:rFonts w:ascii="Palatino Linotype"/>
          <w:w w:val="110"/>
          <w:sz w:val="14"/>
        </w:rPr>
        <w:t>Fig. 2. </w:t>
      </w:r>
      <w:r>
        <w:rPr>
          <w:w w:val="110"/>
          <w:sz w:val="14"/>
        </w:rPr>
        <w:t>Mean relative reduction in seizure frequency at each study visit as compared</w:t>
      </w:r>
      <w:r>
        <w:rPr>
          <w:spacing w:val="-16"/>
          <w:w w:val="110"/>
          <w:sz w:val="14"/>
        </w:rPr>
        <w:t> </w:t>
      </w:r>
      <w:r>
        <w:rPr>
          <w:w w:val="110"/>
          <w:sz w:val="14"/>
        </w:rPr>
        <w:t>to</w:t>
      </w:r>
      <w:r>
        <w:rPr>
          <w:spacing w:val="-15"/>
          <w:w w:val="110"/>
          <w:sz w:val="14"/>
        </w:rPr>
        <w:t> </w:t>
      </w:r>
      <w:r>
        <w:rPr>
          <w:w w:val="110"/>
          <w:sz w:val="14"/>
        </w:rPr>
        <w:t>baseline</w:t>
      </w:r>
      <w:r>
        <w:rPr>
          <w:spacing w:val="-15"/>
          <w:w w:val="110"/>
          <w:sz w:val="14"/>
        </w:rPr>
        <w:t> </w:t>
      </w:r>
      <w:r>
        <w:rPr>
          <w:w w:val="110"/>
          <w:sz w:val="14"/>
        </w:rPr>
        <w:t>seizure</w:t>
      </w:r>
      <w:r>
        <w:rPr>
          <w:spacing w:val="-15"/>
          <w:w w:val="110"/>
          <w:sz w:val="14"/>
        </w:rPr>
        <w:t> </w:t>
      </w:r>
      <w:r>
        <w:rPr>
          <w:w w:val="110"/>
          <w:sz w:val="14"/>
        </w:rPr>
        <w:t>frequency.</w:t>
      </w:r>
      <w:r>
        <w:rPr>
          <w:spacing w:val="-16"/>
          <w:w w:val="110"/>
          <w:sz w:val="14"/>
        </w:rPr>
        <w:t> </w:t>
      </w:r>
      <w:r>
        <w:rPr>
          <w:w w:val="110"/>
          <w:sz w:val="14"/>
        </w:rPr>
        <w:t>LS-means,</w:t>
      </w:r>
      <w:r>
        <w:rPr>
          <w:spacing w:val="-14"/>
          <w:w w:val="110"/>
          <w:sz w:val="14"/>
        </w:rPr>
        <w:t> </w:t>
      </w:r>
      <w:r>
        <w:rPr>
          <w:w w:val="110"/>
          <w:sz w:val="14"/>
        </w:rPr>
        <w:t>*p</w:t>
      </w:r>
      <w:r>
        <w:rPr>
          <w:spacing w:val="-3"/>
          <w:w w:val="110"/>
          <w:sz w:val="14"/>
        </w:rPr>
        <w:t> </w:t>
      </w:r>
      <w:r>
        <w:rPr>
          <w:w w:val="155"/>
          <w:sz w:val="14"/>
        </w:rPr>
        <w:t>&lt;</w:t>
      </w:r>
      <w:r>
        <w:rPr>
          <w:spacing w:val="-17"/>
          <w:w w:val="155"/>
          <w:sz w:val="14"/>
        </w:rPr>
        <w:t> </w:t>
      </w:r>
      <w:r>
        <w:rPr>
          <w:w w:val="110"/>
          <w:sz w:val="14"/>
        </w:rPr>
        <w:t>0.05.</w:t>
      </w:r>
      <w:r>
        <w:rPr>
          <w:spacing w:val="-15"/>
          <w:w w:val="110"/>
          <w:sz w:val="14"/>
        </w:rPr>
        <w:t> </w:t>
      </w:r>
      <w:r>
        <w:rPr>
          <w:w w:val="110"/>
          <w:sz w:val="14"/>
        </w:rPr>
        <w:t>Error</w:t>
      </w:r>
      <w:r>
        <w:rPr>
          <w:spacing w:val="-16"/>
          <w:w w:val="110"/>
          <w:sz w:val="14"/>
        </w:rPr>
        <w:t> </w:t>
      </w:r>
      <w:r>
        <w:rPr>
          <w:w w:val="110"/>
          <w:sz w:val="14"/>
        </w:rPr>
        <w:t>bars:</w:t>
      </w:r>
      <w:r>
        <w:rPr>
          <w:spacing w:val="-15"/>
          <w:w w:val="110"/>
          <w:sz w:val="14"/>
        </w:rPr>
        <w:t> </w:t>
      </w:r>
      <w:r>
        <w:rPr>
          <w:spacing w:val="-4"/>
          <w:w w:val="110"/>
          <w:sz w:val="14"/>
        </w:rPr>
        <w:t>SEM; </w:t>
      </w:r>
      <w:r>
        <w:rPr>
          <w:w w:val="110"/>
          <w:sz w:val="14"/>
        </w:rPr>
        <w:t>taken</w:t>
      </w:r>
      <w:r>
        <w:rPr>
          <w:spacing w:val="12"/>
          <w:w w:val="110"/>
          <w:sz w:val="14"/>
        </w:rPr>
        <w:t> </w:t>
      </w:r>
      <w:r>
        <w:rPr>
          <w:w w:val="110"/>
          <w:sz w:val="14"/>
        </w:rPr>
        <w:t>from</w:t>
      </w:r>
      <w:r>
        <w:rPr>
          <w:spacing w:val="14"/>
          <w:w w:val="110"/>
          <w:sz w:val="14"/>
        </w:rPr>
        <w:t> </w:t>
      </w:r>
      <w:r>
        <w:rPr>
          <w:w w:val="110"/>
          <w:sz w:val="14"/>
        </w:rPr>
        <w:t>(</w:t>
      </w:r>
      <w:hyperlink w:history="true" w:anchor="_bookmark6">
        <w:r>
          <w:rPr>
            <w:color w:val="2B7CA5"/>
            <w:w w:val="110"/>
            <w:sz w:val="14"/>
          </w:rPr>
          <w:t>Bauer</w:t>
        </w:r>
        <w:r>
          <w:rPr>
            <w:color w:val="2B7CA5"/>
            <w:spacing w:val="13"/>
            <w:w w:val="110"/>
            <w:sz w:val="14"/>
          </w:rPr>
          <w:t> </w:t>
        </w:r>
        <w:r>
          <w:rPr>
            <w:color w:val="2B7CA5"/>
            <w:w w:val="110"/>
            <w:sz w:val="14"/>
          </w:rPr>
          <w:t>et</w:t>
        </w:r>
        <w:r>
          <w:rPr>
            <w:color w:val="2B7CA5"/>
            <w:spacing w:val="13"/>
            <w:w w:val="110"/>
            <w:sz w:val="14"/>
          </w:rPr>
          <w:t> </w:t>
        </w:r>
        <w:r>
          <w:rPr>
            <w:color w:val="2B7CA5"/>
            <w:w w:val="110"/>
            <w:sz w:val="14"/>
          </w:rPr>
          <w:t>al.,</w:t>
        </w:r>
        <w:r>
          <w:rPr>
            <w:color w:val="2B7CA5"/>
            <w:spacing w:val="13"/>
            <w:w w:val="110"/>
            <w:sz w:val="14"/>
          </w:rPr>
          <w:t> </w:t>
        </w:r>
        <w:r>
          <w:rPr>
            <w:color w:val="2B7CA5"/>
            <w:w w:val="110"/>
            <w:sz w:val="14"/>
          </w:rPr>
          <w:t>2016</w:t>
        </w:r>
      </w:hyperlink>
      <w:r>
        <w:rPr>
          <w:w w:val="110"/>
          <w:sz w:val="14"/>
        </w:rPr>
        <w:t>).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552958</wp:posOffset>
            </wp:positionH>
            <wp:positionV relativeFrom="paragraph">
              <wp:posOffset>177795</wp:posOffset>
            </wp:positionV>
            <wp:extent cx="3037883" cy="3270504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83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87"/>
        <w:ind w:left="111" w:right="38" w:firstLine="0"/>
        <w:jc w:val="both"/>
        <w:rPr>
          <w:sz w:val="14"/>
        </w:rPr>
      </w:pPr>
      <w:bookmarkStart w:name="_bookmark5" w:id="15"/>
      <w:bookmarkEnd w:id="15"/>
      <w:r>
        <w:rPr/>
      </w:r>
      <w:r>
        <w:rPr>
          <w:rFonts w:ascii="Palatino Linotype"/>
          <w:w w:val="105"/>
          <w:sz w:val="14"/>
        </w:rPr>
        <w:t>Fig. 3. </w:t>
      </w:r>
      <w:r>
        <w:rPr>
          <w:w w:val="105"/>
          <w:sz w:val="14"/>
        </w:rPr>
        <w:t>Responder rates after 20 weeks of tVNS treatment and at end of treat- ment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(including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patients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who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did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not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complete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full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20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weeks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treatment).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1"/>
        <w:jc w:val="both"/>
      </w:pPr>
      <w:r>
        <w:rPr/>
        <w:t>in    the   intention-to-treat    study    population.    However,   there</w:t>
      </w:r>
      <w:r>
        <w:rPr>
          <w:spacing w:val="15"/>
        </w:rPr>
        <w:t> </w:t>
      </w:r>
      <w:r>
        <w:rPr/>
        <w:t>was   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5"/>
        <w:jc w:val="left"/>
        <w:rPr>
          <w:sz w:val="16"/>
        </w:rPr>
      </w:pPr>
      <w:bookmarkStart w:name="Further studies" w:id="16"/>
      <w:bookmarkEnd w:id="16"/>
      <w:r>
        <w:rPr/>
      </w:r>
      <w:bookmarkStart w:name="Further studies" w:id="17"/>
      <w:bookmarkEnd w:id="17"/>
      <w:r>
        <w:rPr>
          <w:w w:val="105"/>
          <w:sz w:val="16"/>
        </w:rPr>
        <w:t>Further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studies</w:t>
      </w:r>
    </w:p>
    <w:p>
      <w:pPr>
        <w:pStyle w:val="BodyText"/>
        <w:spacing w:before="3"/>
        <w:rPr>
          <w:rFonts w:ascii="Palatino Linotype"/>
        </w:rPr>
      </w:pPr>
    </w:p>
    <w:p>
      <w:pPr>
        <w:pStyle w:val="BodyText"/>
        <w:spacing w:line="266" w:lineRule="auto"/>
        <w:ind w:left="111" w:right="110" w:firstLine="249"/>
        <w:jc w:val="both"/>
      </w:pPr>
      <w:r>
        <w:rPr/>
        <w:t>The results justify further trials in larger patient populations. The following lessons have to be learnt:</w:t>
      </w:r>
    </w:p>
    <w:p>
      <w:pPr>
        <w:pStyle w:val="BodyText"/>
        <w:rPr>
          <w:sz w:val="18"/>
        </w:rPr>
      </w:pPr>
    </w:p>
    <w:p>
      <w:pPr>
        <w:pStyle w:val="BodyText"/>
        <w:spacing w:line="268" w:lineRule="auto"/>
        <w:ind w:left="347" w:right="110"/>
        <w:jc w:val="both"/>
      </w:pPr>
      <w:r>
        <w:rPr/>
        <w:pict>
          <v:shape style="position:absolute;margin-left:310.56369pt;margin-top:-2.968085pt;width:4.5pt;height:18.4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Calibri" w:hAnsi="Calibri"/>
                      <w:sz w:val="30"/>
                    </w:rPr>
                  </w:pPr>
                  <w:r>
                    <w:rPr>
                      <w:rFonts w:ascii="Calibri" w:hAnsi="Calibri"/>
                      <w:w w:val="59"/>
                      <w:sz w:val="3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6369pt;margin-top:28.439714pt;width:4.5pt;height:18.45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Calibri" w:hAnsi="Calibri"/>
                      <w:sz w:val="30"/>
                    </w:rPr>
                  </w:pPr>
                  <w:r>
                    <w:rPr>
                      <w:rFonts w:ascii="Calibri" w:hAnsi="Calibri"/>
                      <w:w w:val="59"/>
                      <w:sz w:val="3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Since treatment e</w:t>
      </w:r>
      <w:r>
        <w:rPr>
          <w:rFonts w:ascii="Arial" w:hAnsi="Arial"/>
        </w:rPr>
        <w:t>ﬀ</w:t>
      </w:r>
      <w:r>
        <w:rPr/>
        <w:t>ect appeared to increase after 20 weeks of treatment, longer observation periods are necessary when assessing potential neuromodulatory e</w:t>
      </w:r>
      <w:r>
        <w:rPr>
          <w:rFonts w:ascii="Arial" w:hAnsi="Arial"/>
        </w:rPr>
        <w:t>ﬀ</w:t>
      </w:r>
      <w:r>
        <w:rPr/>
        <w:t>ects.</w:t>
      </w:r>
    </w:p>
    <w:p>
      <w:pPr>
        <w:pStyle w:val="BodyText"/>
        <w:spacing w:line="266" w:lineRule="auto"/>
        <w:ind w:left="347" w:right="139"/>
      </w:pPr>
      <w:r>
        <w:rPr/>
        <w:pict>
          <v:shape style="position:absolute;margin-left:310.56369pt;margin-top:49.302715pt;width:4.5pt;height:18.4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Calibri" w:hAnsi="Calibri"/>
                      <w:sz w:val="30"/>
                    </w:rPr>
                  </w:pPr>
                  <w:r>
                    <w:rPr>
                      <w:rFonts w:ascii="Calibri" w:hAnsi="Calibri"/>
                      <w:w w:val="59"/>
                      <w:sz w:val="3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6369pt;margin-top:80.710518pt;width:4.5pt;height:18.4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Calibri" w:hAnsi="Calibri"/>
                      <w:sz w:val="30"/>
                    </w:rPr>
                  </w:pPr>
                  <w:r>
                    <w:rPr>
                      <w:rFonts w:ascii="Calibri" w:hAnsi="Calibri"/>
                      <w:w w:val="59"/>
                      <w:sz w:val="3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Future trials should include comparisons of tVNS and standard </w:t>
      </w:r>
      <w:r>
        <w:rPr>
          <w:spacing w:val="-3"/>
        </w:rPr>
        <w:t>VNS: </w:t>
      </w:r>
      <w:r>
        <w:rPr/>
        <w:t>patients who bene</w:t>
      </w:r>
      <w:r>
        <w:rPr>
          <w:rFonts w:ascii="Arial" w:hAnsi="Arial"/>
        </w:rPr>
        <w:t>ﬁ</w:t>
      </w:r>
      <w:r>
        <w:rPr/>
        <w:t>ted from tVNS treatment could be considered for implantation of standard or responsive VNS. Positive responses </w:t>
      </w:r>
      <w:r>
        <w:rPr>
          <w:spacing w:val="-6"/>
        </w:rPr>
        <w:t>to </w:t>
      </w:r>
      <w:r>
        <w:rPr/>
        <w:t>tVNS could allow personalization of neuromodulatory treatments, while negative responses could avoid unnecessary  implantations. Due to its favorable safety pro</w:t>
      </w:r>
      <w:r>
        <w:rPr>
          <w:rFonts w:ascii="Arial" w:hAnsi="Arial"/>
        </w:rPr>
        <w:t>ﬁ</w:t>
      </w:r>
      <w:r>
        <w:rPr/>
        <w:t>le and non-invasive nature, tVNS </w:t>
      </w:r>
      <w:r>
        <w:rPr>
          <w:spacing w:val="-6"/>
        </w:rPr>
        <w:t>in </w:t>
      </w:r>
      <w:r>
        <w:rPr/>
        <w:t>contrast to VNS, could be considered for treatment studies at </w:t>
      </w:r>
      <w:r>
        <w:rPr>
          <w:spacing w:val="-3"/>
        </w:rPr>
        <w:t>early </w:t>
      </w:r>
      <w:r>
        <w:rPr/>
        <w:t>stages of epilepsy.</w:t>
      </w:r>
    </w:p>
    <w:p>
      <w:pPr>
        <w:pStyle w:val="BodyText"/>
        <w:spacing w:line="264" w:lineRule="auto" w:before="6"/>
        <w:ind w:left="347" w:right="110"/>
        <w:jc w:val="both"/>
      </w:pPr>
      <w:r>
        <w:rPr/>
        <w:t>Because numerous parameters of brain stimulation therapies (e. </w:t>
      </w:r>
      <w:r>
        <w:rPr>
          <w:spacing w:val="-7"/>
        </w:rPr>
        <w:t>g.</w:t>
      </w:r>
      <w:r>
        <w:rPr>
          <w:spacing w:val="21"/>
        </w:rPr>
        <w:t> </w:t>
      </w:r>
      <w:r>
        <w:rPr/>
        <w:t>stimulation target, frequency, pulse  patterns,  intensity,  duration) can be adjusted within wide ranges, the </w:t>
      </w:r>
      <w:r>
        <w:rPr>
          <w:rFonts w:ascii="Calibri" w:hAnsi="Calibri"/>
        </w:rPr>
        <w:t>“</w:t>
      </w:r>
      <w:r>
        <w:rPr/>
        <w:t>optimal</w:t>
      </w:r>
      <w:r>
        <w:rPr>
          <w:rFonts w:ascii="Calibri" w:hAnsi="Calibri"/>
        </w:rPr>
        <w:t>” </w:t>
      </w:r>
      <w:r>
        <w:rPr/>
        <w:t>stimulation </w:t>
      </w:r>
      <w:r>
        <w:rPr>
          <w:spacing w:val="-3"/>
        </w:rPr>
        <w:t>set- </w:t>
      </w:r>
      <w:r>
        <w:rPr/>
        <w:t>tings remain unclear. Hence, there is a strong need for comparative studies.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1" w:right="110" w:firstLine="249"/>
        <w:jc w:val="both"/>
      </w:pPr>
      <w:r>
        <w:rPr>
          <w:w w:val="105"/>
        </w:rPr>
        <w:t>In conclusion, the clinical value of tVNS cannot be </w:t>
      </w:r>
      <w:r>
        <w:rPr>
          <w:rFonts w:ascii="Arial" w:hAnsi="Arial"/>
          <w:w w:val="105"/>
        </w:rPr>
        <w:t>ﬁ</w:t>
      </w:r>
      <w:r>
        <w:rPr>
          <w:w w:val="105"/>
        </w:rPr>
        <w:t>nally evaluated at this point and the results of further trials must be awaited (</w:t>
      </w:r>
      <w:hyperlink w:history="true" w:anchor="_bookmark7">
        <w:r>
          <w:rPr>
            <w:color w:val="2B7CA5"/>
            <w:w w:val="105"/>
          </w:rPr>
          <w:t>Boon</w:t>
        </w:r>
      </w:hyperlink>
      <w:r>
        <w:rPr>
          <w:color w:val="2B7CA5"/>
          <w:w w:val="105"/>
        </w:rPr>
        <w:t> </w:t>
      </w:r>
      <w:r>
        <w:rPr>
          <w:color w:val="2B7CA5"/>
          <w:spacing w:val="37"/>
          <w:w w:val="105"/>
        </w:rPr>
        <w:t> </w:t>
      </w:r>
      <w:hyperlink w:history="true" w:anchor="_bookmark7">
        <w:r>
          <w:rPr>
            <w:color w:val="2B7CA5"/>
            <w:w w:val="105"/>
          </w:rPr>
          <w:t>et al.,</w:t>
        </w:r>
        <w:r>
          <w:rPr>
            <w:color w:val="2B7CA5"/>
            <w:spacing w:val="-6"/>
            <w:w w:val="105"/>
          </w:rPr>
          <w:t> </w:t>
        </w:r>
        <w:r>
          <w:rPr>
            <w:color w:val="2B7CA5"/>
            <w:w w:val="105"/>
          </w:rPr>
          <w:t>2018</w:t>
        </w:r>
      </w:hyperlink>
      <w:r>
        <w:rPr>
          <w:w w:val="105"/>
        </w:rPr>
        <w:t>).</w:t>
      </w:r>
    </w:p>
    <w:p>
      <w:pPr>
        <w:pStyle w:val="BodyText"/>
        <w:spacing w:before="3"/>
      </w:pPr>
    </w:p>
    <w:p>
      <w:pPr>
        <w:pStyle w:val="BodyText"/>
        <w:ind w:left="111"/>
        <w:rPr>
          <w:rFonts w:ascii="Palatino Linotype"/>
        </w:rPr>
      </w:pPr>
      <w:bookmarkStart w:name="References" w:id="18"/>
      <w:bookmarkEnd w:id="18"/>
      <w:r>
        <w:rPr/>
      </w:r>
      <w:r>
        <w:rPr>
          <w:rFonts w:ascii="Palatino Linotype"/>
          <w:w w:val="110"/>
        </w:rPr>
        <w:t>References</w:t>
      </w:r>
    </w:p>
    <w:p>
      <w:pPr>
        <w:pStyle w:val="BodyText"/>
        <w:rPr>
          <w:rFonts w:ascii="Palatino Linotype"/>
          <w:sz w:val="19"/>
        </w:rPr>
      </w:pPr>
    </w:p>
    <w:p>
      <w:pPr>
        <w:spacing w:line="271" w:lineRule="auto" w:before="1"/>
        <w:ind w:left="351" w:right="105" w:hanging="240"/>
        <w:jc w:val="left"/>
        <w:rPr>
          <w:sz w:val="12"/>
        </w:rPr>
      </w:pPr>
      <w:bookmarkStart w:name="_bookmark6" w:id="19"/>
      <w:bookmarkEnd w:id="19"/>
      <w:r>
        <w:rPr/>
      </w:r>
      <w:hyperlink r:id="rId15">
        <w:r>
          <w:rPr>
            <w:color w:val="2B7CA5"/>
            <w:w w:val="115"/>
            <w:sz w:val="12"/>
          </w:rPr>
          <w:t>Bauer, S., Baier, H., Baumgartner, C., Bohlmann, K., Fauser, S., Graf, W., Hillenbrand, B.,</w:t>
        </w:r>
      </w:hyperlink>
      <w:r>
        <w:rPr>
          <w:color w:val="2B7CA5"/>
          <w:w w:val="115"/>
          <w:sz w:val="12"/>
        </w:rPr>
        <w:t> </w:t>
      </w:r>
      <w:hyperlink r:id="rId15">
        <w:r>
          <w:rPr>
            <w:color w:val="2B7CA5"/>
            <w:w w:val="115"/>
            <w:sz w:val="12"/>
          </w:rPr>
          <w:t>Hirsch, M., Last, C., Lerche, H., Mayer, T., Schulze-Bonhage, A., Steinho</w:t>
        </w:r>
        <w:r>
          <w:rPr>
            <w:rFonts w:ascii="Arial" w:hAnsi="Arial"/>
            <w:color w:val="2B7CA5"/>
            <w:w w:val="115"/>
            <w:sz w:val="12"/>
          </w:rPr>
          <w:t>ﬀ</w:t>
        </w:r>
        <w:r>
          <w:rPr>
            <w:color w:val="2B7CA5"/>
            <w:w w:val="115"/>
            <w:sz w:val="12"/>
          </w:rPr>
          <w:t>, B.J.,</w:t>
        </w:r>
      </w:hyperlink>
      <w:r>
        <w:rPr>
          <w:color w:val="2B7CA5"/>
          <w:w w:val="115"/>
          <w:sz w:val="12"/>
        </w:rPr>
        <w:t> </w:t>
      </w:r>
      <w:hyperlink r:id="rId15">
        <w:r>
          <w:rPr>
            <w:color w:val="2B7CA5"/>
            <w:w w:val="115"/>
            <w:sz w:val="12"/>
          </w:rPr>
          <w:t>Weber,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Y.,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Hartlep,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A.,</w:t>
        </w:r>
        <w:r>
          <w:rPr>
            <w:color w:val="2B7CA5"/>
            <w:spacing w:val="-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Rosenow,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F.,</w:t>
        </w:r>
        <w:r>
          <w:rPr>
            <w:color w:val="2B7CA5"/>
            <w:spacing w:val="-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Hamer,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H.M.,</w:t>
        </w:r>
        <w:r>
          <w:rPr>
            <w:color w:val="2B7CA5"/>
            <w:spacing w:val="-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2016.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Transcutaneous</w:t>
        </w:r>
        <w:r>
          <w:rPr>
            <w:color w:val="2B7CA5"/>
            <w:spacing w:val="-8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vagus</w:t>
        </w:r>
        <w:r>
          <w:rPr>
            <w:color w:val="2B7CA5"/>
            <w:spacing w:val="-10"/>
            <w:w w:val="115"/>
            <w:sz w:val="12"/>
          </w:rPr>
          <w:t> </w:t>
        </w:r>
        <w:r>
          <w:rPr>
            <w:color w:val="2B7CA5"/>
            <w:spacing w:val="-3"/>
            <w:w w:val="115"/>
            <w:sz w:val="12"/>
          </w:rPr>
          <w:t>nerve</w:t>
        </w:r>
      </w:hyperlink>
      <w:r>
        <w:rPr>
          <w:color w:val="2B7CA5"/>
          <w:spacing w:val="-3"/>
          <w:w w:val="115"/>
          <w:sz w:val="12"/>
        </w:rPr>
        <w:t> </w:t>
      </w:r>
      <w:hyperlink r:id="rId15">
        <w:r>
          <w:rPr>
            <w:color w:val="2B7CA5"/>
            <w:w w:val="115"/>
            <w:sz w:val="12"/>
          </w:rPr>
          <w:t>stimulation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(tVNS)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for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treatment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of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drug-resistant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epilepsy: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a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randomized,</w:t>
        </w:r>
        <w:r>
          <w:rPr>
            <w:color w:val="2B7CA5"/>
            <w:spacing w:val="-12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double-</w:t>
        </w:r>
      </w:hyperlink>
      <w:bookmarkStart w:name="_bookmark7" w:id="20"/>
      <w:bookmarkEnd w:id="20"/>
      <w:r>
        <w:rPr>
          <w:color w:val="2B7CA5"/>
          <w:w w:val="115"/>
          <w:sz w:val="12"/>
        </w:rPr>
      </w:r>
      <w:r>
        <w:rPr>
          <w:color w:val="2B7CA5"/>
          <w:w w:val="115"/>
          <w:sz w:val="12"/>
        </w:rPr>
        <w:t> </w:t>
      </w:r>
      <w:hyperlink r:id="rId15">
        <w:r>
          <w:rPr>
            <w:color w:val="2B7CA5"/>
            <w:w w:val="115"/>
            <w:sz w:val="12"/>
          </w:rPr>
          <w:t>blind</w:t>
        </w:r>
        <w:r>
          <w:rPr>
            <w:color w:val="2B7CA5"/>
            <w:spacing w:val="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clinical</w:t>
        </w:r>
        <w:r>
          <w:rPr>
            <w:color w:val="2B7CA5"/>
            <w:spacing w:val="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trial</w:t>
        </w:r>
        <w:r>
          <w:rPr>
            <w:color w:val="2B7CA5"/>
            <w:spacing w:val="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(cMPsE02).</w:t>
        </w:r>
        <w:r>
          <w:rPr>
            <w:color w:val="2B7CA5"/>
            <w:spacing w:val="10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Brain</w:t>
        </w:r>
        <w:r>
          <w:rPr>
            <w:color w:val="2B7CA5"/>
            <w:spacing w:val="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Stimul.</w:t>
        </w:r>
        <w:r>
          <w:rPr>
            <w:color w:val="2B7CA5"/>
            <w:spacing w:val="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9,</w:t>
        </w:r>
        <w:r>
          <w:rPr>
            <w:color w:val="2B7CA5"/>
            <w:spacing w:val="9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356</w:t>
        </w:r>
        <w:r>
          <w:rPr>
            <w:rFonts w:ascii="Calibri" w:hAnsi="Calibri"/>
            <w:color w:val="2B7CA5"/>
            <w:w w:val="115"/>
            <w:sz w:val="12"/>
          </w:rPr>
          <w:t>–</w:t>
        </w:r>
        <w:r>
          <w:rPr>
            <w:color w:val="2B7CA5"/>
            <w:w w:val="115"/>
            <w:sz w:val="12"/>
          </w:rPr>
          <w:t>363</w:t>
        </w:r>
      </w:hyperlink>
      <w:r>
        <w:rPr>
          <w:w w:val="115"/>
          <w:sz w:val="12"/>
        </w:rPr>
        <w:t>.</w:t>
      </w:r>
    </w:p>
    <w:p>
      <w:pPr>
        <w:spacing w:line="271" w:lineRule="auto" w:before="0"/>
        <w:ind w:left="351" w:right="139" w:hanging="240"/>
        <w:jc w:val="left"/>
        <w:rPr>
          <w:sz w:val="12"/>
        </w:rPr>
      </w:pPr>
      <w:hyperlink r:id="rId16">
        <w:r>
          <w:rPr>
            <w:color w:val="2B7CA5"/>
            <w:w w:val="110"/>
            <w:sz w:val="12"/>
          </w:rPr>
          <w:t>Boon, P., De Cock, E., Mertens, A., Trinka, E., 2018. Neurostimulation for drug-resistant</w:t>
        </w:r>
      </w:hyperlink>
      <w:r>
        <w:rPr>
          <w:color w:val="2B7CA5"/>
          <w:w w:val="110"/>
          <w:sz w:val="12"/>
        </w:rPr>
        <w:t> </w:t>
      </w:r>
      <w:hyperlink r:id="rId16">
        <w:r>
          <w:rPr>
            <w:color w:val="2B7CA5"/>
            <w:w w:val="110"/>
            <w:sz w:val="12"/>
          </w:rPr>
          <w:t>epilepsy: a systematic review of clinical evidence for e</w:t>
        </w:r>
        <w:r>
          <w:rPr>
            <w:rFonts w:ascii="Arial" w:hAnsi="Arial"/>
            <w:color w:val="2B7CA5"/>
            <w:w w:val="110"/>
            <w:sz w:val="12"/>
          </w:rPr>
          <w:t>ﬃ</w:t>
        </w:r>
        <w:r>
          <w:rPr>
            <w:color w:val="2B7CA5"/>
            <w:w w:val="110"/>
            <w:sz w:val="12"/>
          </w:rPr>
          <w:t>cacy, safety, contra-</w:t>
        </w:r>
      </w:hyperlink>
      <w:bookmarkStart w:name="_bookmark8" w:id="21"/>
      <w:bookmarkEnd w:id="21"/>
      <w:r>
        <w:rPr>
          <w:color w:val="2B7CA5"/>
          <w:w w:val="110"/>
          <w:sz w:val="12"/>
        </w:rPr>
      </w:r>
      <w:r>
        <w:rPr>
          <w:color w:val="2B7CA5"/>
          <w:w w:val="110"/>
          <w:sz w:val="12"/>
        </w:rPr>
        <w:t> </w:t>
      </w:r>
      <w:hyperlink r:id="rId16">
        <w:r>
          <w:rPr>
            <w:color w:val="2B7CA5"/>
            <w:w w:val="110"/>
            <w:sz w:val="12"/>
          </w:rPr>
          <w:t>indications and predictors for response. Curr. Opin. Neurol. 31, 198</w:t>
        </w:r>
        <w:r>
          <w:rPr>
            <w:rFonts w:ascii="Calibri" w:hAnsi="Calibri"/>
            <w:color w:val="2B7CA5"/>
            <w:w w:val="110"/>
            <w:sz w:val="12"/>
          </w:rPr>
          <w:t>–</w:t>
        </w:r>
        <w:r>
          <w:rPr>
            <w:color w:val="2B7CA5"/>
            <w:w w:val="110"/>
            <w:sz w:val="12"/>
          </w:rPr>
          <w:t>210</w:t>
        </w:r>
      </w:hyperlink>
      <w:r>
        <w:rPr>
          <w:w w:val="110"/>
          <w:sz w:val="12"/>
        </w:rPr>
        <w:t>.</w:t>
      </w:r>
    </w:p>
    <w:p>
      <w:pPr>
        <w:spacing w:line="271" w:lineRule="auto" w:before="0"/>
        <w:ind w:left="351" w:right="139" w:hanging="240"/>
        <w:jc w:val="left"/>
        <w:rPr>
          <w:sz w:val="12"/>
        </w:rPr>
      </w:pPr>
      <w:hyperlink r:id="rId17">
        <w:r>
          <w:rPr>
            <w:color w:val="2B7CA5"/>
            <w:w w:val="115"/>
            <w:sz w:val="12"/>
          </w:rPr>
          <w:t>Handforth, A., DeGiorgio, C.M., Schachter, S.C., Uthman, B.M., Naritoku, D.K., Tecoma,</w:t>
        </w:r>
      </w:hyperlink>
      <w:r>
        <w:rPr>
          <w:color w:val="2B7CA5"/>
          <w:w w:val="115"/>
          <w:sz w:val="12"/>
        </w:rPr>
        <w:t> </w:t>
      </w:r>
      <w:hyperlink r:id="rId17">
        <w:r>
          <w:rPr>
            <w:color w:val="2B7CA5"/>
            <w:w w:val="115"/>
            <w:sz w:val="12"/>
          </w:rPr>
          <w:t>E.S., Henry, T.R., Collins, S.D., Vaughn, B.V., Gilmartin, R.C., Labar, D.R., Morris,</w:t>
        </w:r>
      </w:hyperlink>
    </w:p>
    <w:p>
      <w:pPr>
        <w:spacing w:line="271" w:lineRule="auto" w:before="0"/>
        <w:ind w:left="351" w:right="139" w:firstLine="0"/>
        <w:jc w:val="left"/>
        <w:rPr>
          <w:sz w:val="12"/>
        </w:rPr>
      </w:pPr>
      <w:hyperlink r:id="rId17">
        <w:r>
          <w:rPr>
            <w:color w:val="2B7CA5"/>
            <w:w w:val="115"/>
            <w:sz w:val="12"/>
          </w:rPr>
          <w:t>G.L., Salinsky, M.C., Osorio, I., Ristanovic, R.K., Labiner, D.M., Jones, J.C., Murphy,</w:t>
        </w:r>
      </w:hyperlink>
      <w:r>
        <w:rPr>
          <w:color w:val="2B7CA5"/>
          <w:w w:val="115"/>
          <w:sz w:val="12"/>
        </w:rPr>
        <w:t> </w:t>
      </w:r>
      <w:hyperlink r:id="rId17">
        <w:r>
          <w:rPr>
            <w:color w:val="2B7CA5"/>
            <w:w w:val="115"/>
            <w:sz w:val="12"/>
          </w:rPr>
          <w:t>J.V., Ney, G.C., Wheless, J.W., 1998. Vagus nerve stimulation therapy for partial-</w:t>
        </w:r>
      </w:hyperlink>
      <w:bookmarkStart w:name="_bookmark9" w:id="22"/>
      <w:bookmarkEnd w:id="22"/>
      <w:r>
        <w:rPr>
          <w:color w:val="2B7CA5"/>
          <w:w w:val="115"/>
          <w:sz w:val="12"/>
        </w:rPr>
      </w:r>
      <w:r>
        <w:rPr>
          <w:color w:val="2B7CA5"/>
          <w:w w:val="115"/>
          <w:sz w:val="12"/>
        </w:rPr>
        <w:t> </w:t>
      </w:r>
      <w:hyperlink r:id="rId17">
        <w:r>
          <w:rPr>
            <w:color w:val="2B7CA5"/>
            <w:w w:val="115"/>
            <w:sz w:val="12"/>
          </w:rPr>
          <w:t>onset seizures. A randomized active-control trial. Neurology 51, 48</w:t>
        </w:r>
        <w:r>
          <w:rPr>
            <w:rFonts w:ascii="Calibri" w:hAnsi="Calibri"/>
            <w:color w:val="2B7CA5"/>
            <w:w w:val="115"/>
            <w:sz w:val="12"/>
          </w:rPr>
          <w:t>–</w:t>
        </w:r>
        <w:r>
          <w:rPr>
            <w:color w:val="2B7CA5"/>
            <w:w w:val="115"/>
            <w:sz w:val="12"/>
          </w:rPr>
          <w:t>55</w:t>
        </w:r>
      </w:hyperlink>
      <w:r>
        <w:rPr>
          <w:w w:val="115"/>
          <w:sz w:val="12"/>
        </w:rPr>
        <w:t>.</w:t>
      </w:r>
    </w:p>
    <w:p>
      <w:pPr>
        <w:spacing w:line="271" w:lineRule="auto" w:before="0"/>
        <w:ind w:left="351" w:right="109" w:hanging="240"/>
        <w:jc w:val="both"/>
        <w:rPr>
          <w:sz w:val="12"/>
        </w:rPr>
      </w:pPr>
      <w:hyperlink r:id="rId18">
        <w:r>
          <w:rPr>
            <w:color w:val="2B7CA5"/>
            <w:w w:val="115"/>
            <w:sz w:val="12"/>
          </w:rPr>
          <w:t>He, W., Jing, X., Wang, X., Rong, P., Li, L., Shi, H., Shang, H., Wang, Y., Zhang, </w:t>
        </w:r>
        <w:r>
          <w:rPr>
            <w:color w:val="2B7CA5"/>
            <w:w w:val="125"/>
            <w:sz w:val="12"/>
          </w:rPr>
          <w:t>J., </w:t>
        </w:r>
        <w:r>
          <w:rPr>
            <w:color w:val="2B7CA5"/>
            <w:w w:val="115"/>
            <w:sz w:val="12"/>
          </w:rPr>
          <w:t>Zhu, B.,</w:t>
        </w:r>
      </w:hyperlink>
      <w:r>
        <w:rPr>
          <w:color w:val="2B7CA5"/>
          <w:w w:val="115"/>
          <w:sz w:val="12"/>
        </w:rPr>
        <w:t> </w:t>
      </w:r>
      <w:hyperlink r:id="rId18">
        <w:r>
          <w:rPr>
            <w:color w:val="2B7CA5"/>
            <w:w w:val="110"/>
            <w:sz w:val="12"/>
          </w:rPr>
          <w:t>2013.</w:t>
        </w:r>
        <w:r>
          <w:rPr>
            <w:color w:val="2B7CA5"/>
            <w:spacing w:val="-5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Transcutaneous</w:t>
        </w:r>
        <w:r>
          <w:rPr>
            <w:color w:val="2B7CA5"/>
            <w:spacing w:val="-4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auricular</w:t>
        </w:r>
        <w:r>
          <w:rPr>
            <w:color w:val="2B7CA5"/>
            <w:spacing w:val="-5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vagus</w:t>
        </w:r>
        <w:r>
          <w:rPr>
            <w:color w:val="2B7CA5"/>
            <w:spacing w:val="-4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nerve</w:t>
        </w:r>
        <w:r>
          <w:rPr>
            <w:color w:val="2B7CA5"/>
            <w:spacing w:val="-5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stimulation</w:t>
        </w:r>
        <w:r>
          <w:rPr>
            <w:color w:val="2B7CA5"/>
            <w:spacing w:val="-4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as</w:t>
        </w:r>
        <w:r>
          <w:rPr>
            <w:color w:val="2B7CA5"/>
            <w:spacing w:val="-6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a</w:t>
        </w:r>
        <w:r>
          <w:rPr>
            <w:color w:val="2B7CA5"/>
            <w:spacing w:val="-4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complementary</w:t>
        </w:r>
        <w:r>
          <w:rPr>
            <w:color w:val="2B7CA5"/>
            <w:spacing w:val="-5"/>
            <w:w w:val="110"/>
            <w:sz w:val="12"/>
          </w:rPr>
          <w:t> </w:t>
        </w:r>
        <w:r>
          <w:rPr>
            <w:color w:val="2B7CA5"/>
            <w:w w:val="110"/>
            <w:sz w:val="12"/>
          </w:rPr>
          <w:t>therapy</w:t>
        </w:r>
      </w:hyperlink>
      <w:bookmarkStart w:name="_bookmark10" w:id="23"/>
      <w:bookmarkEnd w:id="23"/>
      <w:r>
        <w:rPr>
          <w:color w:val="2B7CA5"/>
          <w:w w:val="110"/>
          <w:sz w:val="12"/>
        </w:rPr>
      </w:r>
      <w:r>
        <w:rPr>
          <w:color w:val="2B7CA5"/>
          <w:w w:val="110"/>
          <w:sz w:val="12"/>
        </w:rPr>
        <w:t> </w:t>
      </w:r>
      <w:hyperlink r:id="rId18">
        <w:r>
          <w:rPr>
            <w:color w:val="2B7CA5"/>
            <w:w w:val="115"/>
            <w:sz w:val="12"/>
          </w:rPr>
          <w:t>for</w:t>
        </w:r>
        <w:r>
          <w:rPr>
            <w:color w:val="2B7CA5"/>
            <w:spacing w:val="6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pediatric</w:t>
        </w:r>
        <w:r>
          <w:rPr>
            <w:color w:val="2B7CA5"/>
            <w:spacing w:val="8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epilepsy:</w:t>
        </w:r>
        <w:r>
          <w:rPr>
            <w:color w:val="2B7CA5"/>
            <w:spacing w:val="8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a</w:t>
        </w:r>
        <w:r>
          <w:rPr>
            <w:color w:val="2B7CA5"/>
            <w:spacing w:val="7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pilot</w:t>
        </w:r>
        <w:r>
          <w:rPr>
            <w:color w:val="2B7CA5"/>
            <w:spacing w:val="7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trial.</w:t>
        </w:r>
        <w:r>
          <w:rPr>
            <w:color w:val="2B7CA5"/>
            <w:spacing w:val="8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Epilepsy</w:t>
        </w:r>
        <w:r>
          <w:rPr>
            <w:color w:val="2B7CA5"/>
            <w:spacing w:val="7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Behav.</w:t>
        </w:r>
        <w:r>
          <w:rPr>
            <w:color w:val="2B7CA5"/>
            <w:spacing w:val="7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28,</w:t>
        </w:r>
        <w:r>
          <w:rPr>
            <w:color w:val="2B7CA5"/>
            <w:spacing w:val="8"/>
            <w:w w:val="115"/>
            <w:sz w:val="12"/>
          </w:rPr>
          <w:t> </w:t>
        </w:r>
        <w:r>
          <w:rPr>
            <w:color w:val="2B7CA5"/>
            <w:w w:val="115"/>
            <w:sz w:val="12"/>
          </w:rPr>
          <w:t>343</w:t>
        </w:r>
        <w:r>
          <w:rPr>
            <w:rFonts w:ascii="Calibri" w:hAnsi="Calibri"/>
            <w:color w:val="2B7CA5"/>
            <w:w w:val="115"/>
            <w:sz w:val="12"/>
          </w:rPr>
          <w:t>–</w:t>
        </w:r>
        <w:r>
          <w:rPr>
            <w:color w:val="2B7CA5"/>
            <w:w w:val="115"/>
            <w:sz w:val="12"/>
          </w:rPr>
          <w:t>346</w:t>
        </w:r>
      </w:hyperlink>
      <w:r>
        <w:rPr>
          <w:w w:val="115"/>
          <w:sz w:val="12"/>
        </w:rPr>
        <w:t>.</w:t>
      </w:r>
    </w:p>
    <w:p>
      <w:pPr>
        <w:spacing w:line="273" w:lineRule="auto" w:before="0"/>
        <w:ind w:left="351" w:right="110" w:hanging="240"/>
        <w:jc w:val="both"/>
        <w:rPr>
          <w:sz w:val="12"/>
        </w:rPr>
      </w:pPr>
      <w:hyperlink r:id="rId19">
        <w:r>
          <w:rPr>
            <w:color w:val="2B7CA5"/>
            <w:w w:val="110"/>
            <w:sz w:val="12"/>
          </w:rPr>
          <w:t>Morris 3rd., G.L., Mueller, W.M., 1999. Long-term treatment with vagus nerve stimulation</w:t>
        </w:r>
      </w:hyperlink>
      <w:r>
        <w:rPr>
          <w:color w:val="2B7CA5"/>
          <w:w w:val="110"/>
          <w:sz w:val="12"/>
        </w:rPr>
        <w:t> </w:t>
      </w:r>
      <w:hyperlink r:id="rId19">
        <w:r>
          <w:rPr>
            <w:color w:val="2B7CA5"/>
            <w:w w:val="110"/>
            <w:sz w:val="12"/>
          </w:rPr>
          <w:t>in patients with refractory epilepsy. The Vagus Nerve Stimulation Study Group E01-</w:t>
        </w:r>
      </w:hyperlink>
      <w:bookmarkStart w:name="_bookmark11" w:id="24"/>
      <w:bookmarkEnd w:id="24"/>
      <w:r>
        <w:rPr>
          <w:color w:val="2B7CA5"/>
          <w:w w:val="110"/>
          <w:sz w:val="12"/>
        </w:rPr>
      </w:r>
      <w:r>
        <w:rPr>
          <w:color w:val="2B7CA5"/>
          <w:w w:val="110"/>
          <w:sz w:val="12"/>
        </w:rPr>
        <w:t> </w:t>
      </w:r>
      <w:hyperlink r:id="rId19">
        <w:r>
          <w:rPr>
            <w:color w:val="2B7CA5"/>
            <w:w w:val="110"/>
            <w:sz w:val="12"/>
          </w:rPr>
          <w:t>E05. Neurology 53, 1731</w:t>
        </w:r>
        <w:r>
          <w:rPr>
            <w:rFonts w:ascii="Calibri" w:hAnsi="Calibri"/>
            <w:color w:val="2B7CA5"/>
            <w:w w:val="110"/>
            <w:sz w:val="12"/>
          </w:rPr>
          <w:t>–</w:t>
        </w:r>
        <w:r>
          <w:rPr>
            <w:color w:val="2B7CA5"/>
            <w:w w:val="110"/>
            <w:sz w:val="12"/>
          </w:rPr>
          <w:t>1735</w:t>
        </w:r>
      </w:hyperlink>
      <w:r>
        <w:rPr>
          <w:w w:val="110"/>
          <w:sz w:val="12"/>
        </w:rPr>
        <w:t>.</w:t>
      </w:r>
    </w:p>
    <w:p>
      <w:pPr>
        <w:spacing w:line="131" w:lineRule="exact" w:before="0"/>
        <w:ind w:left="111" w:right="0" w:firstLine="0"/>
        <w:jc w:val="left"/>
        <w:rPr>
          <w:sz w:val="12"/>
        </w:rPr>
      </w:pPr>
      <w:hyperlink r:id="rId20">
        <w:r>
          <w:rPr>
            <w:color w:val="2B7CA5"/>
            <w:w w:val="115"/>
            <w:sz w:val="12"/>
          </w:rPr>
          <w:t>Peuker, E.T., Filler, T.J., 2002. The nerve supply of the human auricle. Clin. Anat. 15,</w:t>
        </w:r>
      </w:hyperlink>
    </w:p>
    <w:p>
      <w:pPr>
        <w:spacing w:before="0"/>
        <w:ind w:left="351" w:right="0" w:firstLine="0"/>
        <w:jc w:val="left"/>
        <w:rPr>
          <w:sz w:val="12"/>
        </w:rPr>
      </w:pPr>
      <w:bookmarkStart w:name="_bookmark12" w:id="25"/>
      <w:bookmarkEnd w:id="25"/>
      <w:r>
        <w:rPr/>
      </w:r>
      <w:hyperlink r:id="rId20">
        <w:r>
          <w:rPr>
            <w:color w:val="2B7CA5"/>
            <w:w w:val="115"/>
            <w:sz w:val="12"/>
          </w:rPr>
          <w:t>35</w:t>
        </w:r>
        <w:r>
          <w:rPr>
            <w:rFonts w:ascii="Calibri" w:hAnsi="Calibri"/>
            <w:color w:val="2B7CA5"/>
            <w:w w:val="115"/>
            <w:sz w:val="12"/>
          </w:rPr>
          <w:t>–</w:t>
        </w:r>
        <w:r>
          <w:rPr>
            <w:color w:val="2B7CA5"/>
            <w:w w:val="115"/>
            <w:sz w:val="12"/>
          </w:rPr>
          <w:t>37</w:t>
        </w:r>
      </w:hyperlink>
      <w:r>
        <w:rPr>
          <w:w w:val="115"/>
          <w:sz w:val="12"/>
        </w:rPr>
        <w:t>.</w:t>
      </w:r>
    </w:p>
    <w:p>
      <w:pPr>
        <w:spacing w:line="273" w:lineRule="auto" w:before="11"/>
        <w:ind w:left="350" w:right="0" w:hanging="240"/>
        <w:jc w:val="left"/>
        <w:rPr>
          <w:sz w:val="12"/>
        </w:rPr>
      </w:pPr>
      <w:hyperlink r:id="rId21">
        <w:r>
          <w:rPr>
            <w:color w:val="2B7CA5"/>
            <w:w w:val="115"/>
            <w:sz w:val="12"/>
          </w:rPr>
          <w:t>Stefan, H., Kreiselmeyer, G., Kerling, F., Kurzbuch, K., Rauch, C., Heers, M., Kasper, B.S.,</w:t>
        </w:r>
      </w:hyperlink>
      <w:r>
        <w:rPr>
          <w:color w:val="2B7CA5"/>
          <w:w w:val="115"/>
          <w:sz w:val="12"/>
        </w:rPr>
        <w:t> </w:t>
      </w:r>
      <w:hyperlink r:id="rId21">
        <w:r>
          <w:rPr>
            <w:color w:val="2B7CA5"/>
            <w:w w:val="115"/>
            <w:sz w:val="12"/>
          </w:rPr>
          <w:t>Hammen, T., Rzonsa, M., Pauli, E., Ellrich, </w:t>
        </w:r>
        <w:r>
          <w:rPr>
            <w:color w:val="2B7CA5"/>
            <w:w w:val="125"/>
            <w:sz w:val="12"/>
          </w:rPr>
          <w:t>J., </w:t>
        </w:r>
        <w:r>
          <w:rPr>
            <w:color w:val="2B7CA5"/>
            <w:w w:val="115"/>
            <w:sz w:val="12"/>
          </w:rPr>
          <w:t>Graf, W., Hopfengartner, R., 2012.</w:t>
        </w:r>
      </w:hyperlink>
    </w:p>
    <w:p>
      <w:pPr>
        <w:spacing w:line="271" w:lineRule="auto" w:before="0"/>
        <w:ind w:left="350" w:right="0" w:firstLine="0"/>
        <w:jc w:val="left"/>
        <w:rPr>
          <w:sz w:val="12"/>
        </w:rPr>
      </w:pPr>
      <w:hyperlink r:id="rId21">
        <w:r>
          <w:rPr>
            <w:color w:val="2B7CA5"/>
            <w:w w:val="110"/>
            <w:sz w:val="12"/>
          </w:rPr>
          <w:t>Transcutaneous vagus nerve stimulation (t-VNS) in pharmacoresistant epilepsies: a</w:t>
        </w:r>
      </w:hyperlink>
      <w:r>
        <w:rPr>
          <w:color w:val="2B7CA5"/>
          <w:w w:val="110"/>
          <w:sz w:val="12"/>
        </w:rPr>
        <w:t> </w:t>
      </w:r>
      <w:hyperlink r:id="rId21">
        <w:r>
          <w:rPr>
            <w:color w:val="2B7CA5"/>
            <w:w w:val="110"/>
            <w:sz w:val="12"/>
          </w:rPr>
          <w:t>proof of concept trial. Epilepsia 53, e115</w:t>
        </w:r>
        <w:r>
          <w:rPr>
            <w:rFonts w:ascii="Calibri" w:hAnsi="Calibri"/>
            <w:color w:val="2B7CA5"/>
            <w:w w:val="110"/>
            <w:sz w:val="12"/>
          </w:rPr>
          <w:t>–</w:t>
        </w:r>
        <w:r>
          <w:rPr>
            <w:color w:val="2B7CA5"/>
            <w:w w:val="110"/>
            <w:sz w:val="12"/>
          </w:rPr>
          <w:t>118</w:t>
        </w:r>
      </w:hyperlink>
      <w:r>
        <w:rPr>
          <w:w w:val="110"/>
          <w:sz w:val="12"/>
        </w:rPr>
        <w:t>.</w:t>
      </w:r>
    </w:p>
    <w:p>
      <w:pPr>
        <w:spacing w:after="0" w:line="271" w:lineRule="auto"/>
        <w:jc w:val="left"/>
        <w:rPr>
          <w:sz w:val="12"/>
        </w:rPr>
        <w:sectPr>
          <w:type w:val="continuous"/>
          <w:pgSz w:w="11910" w:h="15880"/>
          <w:pgMar w:top="380" w:bottom="280" w:left="640" w:right="640"/>
          <w:cols w:num="2" w:equalWidth="0">
            <w:col w:w="5174" w:space="206"/>
            <w:col w:w="5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311"/>
        <w:ind w:left="4126" w:right="4126" w:firstLine="0"/>
        <w:jc w:val="center"/>
        <w:rPr>
          <w:rFonts w:ascii="Times New Roman"/>
          <w:sz w:val="13"/>
        </w:rPr>
      </w:pPr>
      <w:r>
        <w:rPr>
          <w:rFonts w:ascii="Times New Roman"/>
          <w:spacing w:val="-76"/>
          <w:w w:val="225"/>
          <w:sz w:val="13"/>
        </w:rPr>
        <w:t>84</w:t>
      </w:r>
    </w:p>
    <w:sectPr>
      <w:type w:val="continuous"/>
      <w:pgSz w:w="11910" w:h="15880"/>
      <w:pgMar w:top="38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25"/>
        <w:jc w:val="right"/>
      </w:pPr>
      <w:rPr>
        <w:rFonts w:hint="default" w:ascii="Palatino Linotype" w:hAnsi="Palatino Linotype" w:eastAsia="Palatino Linotype" w:cs="Palatino Linotype"/>
        <w:w w:val="119"/>
        <w:sz w:val="16"/>
        <w:szCs w:val="16"/>
      </w:rPr>
    </w:lvl>
    <w:lvl w:ilvl="1">
      <w:start w:val="0"/>
      <w:numFmt w:val="bullet"/>
      <w:lvlText w:val="•"/>
      <w:lvlJc w:val="left"/>
      <w:pPr>
        <w:ind w:left="823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6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0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3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3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6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336" w:hanging="225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ciencedirect.com/science/journal/09201211" TargetMode="External"/><Relationship Id="rId8" Type="http://schemas.openxmlformats.org/officeDocument/2006/relationships/hyperlink" Target="https://www.elsevier.com/locate/epilepsyres" TargetMode="External"/><Relationship Id="rId9" Type="http://schemas.openxmlformats.org/officeDocument/2006/relationships/hyperlink" Target="https://doi.org/10.1016/j.eplepsyres.2019.02.015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S.Bauer@med.uni-frankfurt.de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refhub.elsevier.com/S0920-1211(18)30644-2/sbref0005" TargetMode="External"/><Relationship Id="rId16" Type="http://schemas.openxmlformats.org/officeDocument/2006/relationships/hyperlink" Target="http://refhub.elsevier.com/S0920-1211(18)30644-2/sbref0010" TargetMode="External"/><Relationship Id="rId17" Type="http://schemas.openxmlformats.org/officeDocument/2006/relationships/hyperlink" Target="http://refhub.elsevier.com/S0920-1211(18)30644-2/sbref0015" TargetMode="External"/><Relationship Id="rId18" Type="http://schemas.openxmlformats.org/officeDocument/2006/relationships/hyperlink" Target="http://refhub.elsevier.com/S0920-1211(18)30644-2/sbref0020" TargetMode="External"/><Relationship Id="rId19" Type="http://schemas.openxmlformats.org/officeDocument/2006/relationships/hyperlink" Target="http://refhub.elsevier.com/S0920-1211(18)30644-2/sbref0025" TargetMode="External"/><Relationship Id="rId20" Type="http://schemas.openxmlformats.org/officeDocument/2006/relationships/hyperlink" Target="http://refhub.elsevier.com/S0920-1211(18)30644-2/sbref0030" TargetMode="External"/><Relationship Id="rId21" Type="http://schemas.openxmlformats.org/officeDocument/2006/relationships/hyperlink" Target="http://refhub.elsevier.com/S0920-1211(18)30644-2/sbref0035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 M. Hamer</dc:creator>
  <cp:keywords>Transcutaneous vagus nerve stimulation; Epilepsy; Seizures; Treatment; </cp:keywords>
  <dc:subject>Epilepsy Research, 153 (2019) 83-84. doi:10.1016/j.eplepsyres.2019.02.015</dc:subject>
  <dc:title>Lessons learned from transcutaneous vagus nerve stimulation (tVNS)</dc:title>
  <dcterms:created xsi:type="dcterms:W3CDTF">2020-01-13T16:10:45Z</dcterms:created>
  <dcterms:modified xsi:type="dcterms:W3CDTF">2020-01-13T16:10:45Z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Elsevier</vt:lpwstr>
  </property>
  <property fmtid="{D5CDD505-2E9C-101B-9397-08002B2CF9AE}" pid="4" name="LastSaved">
    <vt:filetime>2020-01-13T00:00:00Z</vt:filetime>
  </property>
</Properties>
</file>