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6" w:rsidRPr="00BE79D0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Acupuncture I</w:t>
      </w:r>
    </w:p>
    <w:p w:rsidR="00487426" w:rsidRDefault="00487426" w:rsidP="0048742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BE79D0">
        <w:rPr>
          <w:rFonts w:ascii="Times New Roman" w:hAnsi="Times New Roman"/>
          <w:i/>
          <w:color w:val="0D0D0D" w:themeColor="text1" w:themeTint="F2"/>
          <w:sz w:val="24"/>
          <w:szCs w:val="24"/>
        </w:rPr>
        <w:t>“A good laugh and a long sleep are the best cures in the doctor's book.”</w:t>
      </w:r>
    </w:p>
    <w:p w:rsidR="00487426" w:rsidRDefault="00487426" w:rsidP="00487426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79D0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D0D0D" w:themeColor="text1" w:themeTint="F2"/>
          <w:sz w:val="24"/>
          <w:szCs w:val="24"/>
        </w:rPr>
        <w:t>—</w:t>
      </w:r>
      <w:r w:rsidRPr="00BE79D0">
        <w:rPr>
          <w:rFonts w:ascii="Times New Roman" w:hAnsi="Times New Roman"/>
          <w:i/>
          <w:color w:val="0D0D0D" w:themeColor="text1" w:themeTint="F2"/>
          <w:sz w:val="24"/>
          <w:szCs w:val="24"/>
        </w:rPr>
        <w:t>Irish proverb.</w:t>
      </w:r>
    </w:p>
    <w:p w:rsidR="00487426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Even if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it’s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not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a patient’s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chief complaint, disordered sleep is one of the most common problems confronting the acupuncture practitioner. Improving sleep quality can help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patients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with pain, mood, immunity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and even metabolic states.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Poor sleep can be a result of a relative excess of sympathetic tone in conditions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such as tinnitus</w:t>
      </w:r>
      <w:proofErr w:type="gramStart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polycystic ovarian syndrome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(PCOS)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3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fibromyalgia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4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and menopause.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5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Acupuncture and acupressure may improve sleep quality by regulating autonomic balance as measured by heart rate variability (HRV). A three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-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pronged approach to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treating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sleep disorders in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the acupuncture clinic follows:</w:t>
      </w:r>
    </w:p>
    <w:p w:rsidR="00487426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87426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Educate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the patient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on basic sleep hygiene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with recommendations for safe over-the-counter remedies (e.g.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m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elatonin)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that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preserve “sleep architecture” for intractable insomnia. </w:t>
      </w:r>
    </w:p>
    <w:p w:rsidR="00487426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2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Alleviate the presenting clinical condition (e.g.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pain,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irritable bowel syndrome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, asthma) with ap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propriate acupuncture needling.</w:t>
      </w:r>
    </w:p>
    <w:p w:rsidR="00487426" w:rsidRPr="00BE79D0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3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Stimulate, either manually or with electrical acupuncture, </w:t>
      </w:r>
      <w:proofErr w:type="spellStart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acupoints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that have been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documented to regulate the autonomic nervous system, such as PC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6,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6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H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T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7, S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T 36, </w:t>
      </w:r>
      <w:r w:rsidRPr="00EC1C28">
        <w:rPr>
          <w:rFonts w:ascii="Times New Roman" w:hAnsi="Times New Roman"/>
          <w:i/>
          <w:color w:val="0D0D0D" w:themeColor="text1" w:themeTint="F2"/>
          <w:sz w:val="24"/>
          <w:szCs w:val="24"/>
        </w:rPr>
        <w:t>Sishencong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7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and </w:t>
      </w:r>
      <w:r w:rsidRPr="00EC1C28">
        <w:rPr>
          <w:rFonts w:ascii="Times New Roman" w:hAnsi="Times New Roman"/>
          <w:i/>
          <w:color w:val="0D0D0D" w:themeColor="text1" w:themeTint="F2"/>
          <w:sz w:val="24"/>
          <w:szCs w:val="24"/>
        </w:rPr>
        <w:t>Yin Tang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8</w:t>
      </w:r>
    </w:p>
    <w:p w:rsidR="00487426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87426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In two recent relevant clinical cases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involving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(1)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tinnitus and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(2)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PCOS, symptoms diminished and sleep improved with use of acupuncture. </w:t>
      </w:r>
    </w:p>
    <w:p w:rsidR="00487426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87426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C1C2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Case 1—</w:t>
      </w:r>
      <w:proofErr w:type="gramStart"/>
      <w:r w:rsidRPr="00D2331F">
        <w:rPr>
          <w:rFonts w:ascii="Times New Roman" w:hAnsi="Times New Roman"/>
          <w:color w:val="0D0D0D" w:themeColor="text1" w:themeTint="F2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47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-year-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old male with tinnitus received acupuncture weekly over a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4-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month period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including points PC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6 and H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7. Treatment resulted in improved sleep quality and decreased tinnitus intensity. HRV analysis revealed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a low-frequency/high-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frequency (LF/HF) decrease over the course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of treatment from 3.29 to 1.3.</w:t>
      </w:r>
    </w:p>
    <w:p w:rsidR="00487426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487426" w:rsidRPr="00BE79D0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C1C2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Case 2—</w:t>
      </w:r>
      <w:proofErr w:type="gramStart"/>
      <w:r w:rsidRPr="00D2331F">
        <w:rPr>
          <w:rFonts w:ascii="Times New Roman" w:hAnsi="Times New Roman"/>
          <w:color w:val="0D0D0D" w:themeColor="text1" w:themeTint="F2"/>
          <w:sz w:val="24"/>
          <w:szCs w:val="24"/>
        </w:rPr>
        <w:t>A</w:t>
      </w:r>
      <w:proofErr w:type="gramEnd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32-year-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old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female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with PCOS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experienced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improved sleep, mood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and regularity of menstrual cycles after 3 months of weekly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acupuncture treatments, including points ST 36 and HT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7. HRV analysis showed a decrease in her LF/HF ratio from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.44 to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.22 over the treatment course.</w:t>
      </w:r>
    </w:p>
    <w:p w:rsidR="00487426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87426" w:rsidRPr="00BE79D0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Acupuncture therapy has far-reaching effects not only on specific clinical problems, but because </w:t>
      </w:r>
      <w:proofErr w:type="gramStart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its</w:t>
      </w:r>
      <w:proofErr w:type="gramEnd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autonomic effects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may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enable patients to achieve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better sleep. HRV analysis may help to elucidate some of the physiologic mechan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isms underlying these benefits.</w:t>
      </w:r>
    </w:p>
    <w:p w:rsidR="00487426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87426" w:rsidRPr="00BE79D0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BE79D0">
        <w:rPr>
          <w:rFonts w:ascii="Times New Roman" w:hAnsi="Times New Roman"/>
          <w:b/>
          <w:color w:val="0D0D0D" w:themeColor="text1" w:themeTint="F2"/>
          <w:sz w:val="24"/>
          <w:szCs w:val="24"/>
        </w:rPr>
        <w:t>References</w:t>
      </w:r>
    </w:p>
    <w:p w:rsidR="00487426" w:rsidRPr="00BE79D0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94D7C">
        <w:rPr>
          <w:rFonts w:ascii="Times New Roman" w:hAnsi="Times New Roman"/>
          <w:b/>
          <w:color w:val="0D0D0D" w:themeColor="text1" w:themeTint="F2"/>
          <w:sz w:val="24"/>
          <w:szCs w:val="24"/>
        </w:rPr>
        <w:t>1.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Depner</w:t>
      </w:r>
      <w:proofErr w:type="spellEnd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CM, </w:t>
      </w:r>
      <w:proofErr w:type="spellStart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Stothard</w:t>
      </w:r>
      <w:proofErr w:type="spellEnd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ER Wright KP Jr. Metabolic consequences of sleep and circadian disorders. </w:t>
      </w:r>
      <w:proofErr w:type="spellStart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Curr</w:t>
      </w:r>
      <w:proofErr w:type="spellEnd"/>
      <w:r w:rsidRPr="00BE79D0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Diab</w:t>
      </w:r>
      <w:proofErr w:type="spellEnd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Rep 2014</w:t>
      </w:r>
      <w:proofErr w:type="gramStart"/>
      <w:r w:rsidRPr="001E1E10">
        <w:rPr>
          <w:rFonts w:ascii="Times New Roman" w:hAnsi="Times New Roman"/>
          <w:color w:val="0D0D0D" w:themeColor="text1" w:themeTint="F2"/>
          <w:sz w:val="24"/>
          <w:szCs w:val="24"/>
        </w:rPr>
        <w:t>;14:507</w:t>
      </w:r>
      <w:proofErr w:type="gramEnd"/>
      <w:r w:rsidRPr="001E1E10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487426" w:rsidRPr="00BE79D0" w:rsidRDefault="00487426" w:rsidP="00487426">
      <w:pPr>
        <w:pStyle w:val="EndnoteText"/>
        <w:suppressAutoHyphens w:val="0"/>
        <w:contextualSpacing/>
        <w:rPr>
          <w:rFonts w:ascii="Times New Roman" w:hAnsi="Times New Roman" w:cs="Times New Roman"/>
          <w:color w:val="0D0D0D" w:themeColor="text1" w:themeTint="F2"/>
          <w:szCs w:val="24"/>
        </w:rPr>
      </w:pPr>
      <w:r w:rsidRPr="00A94D7C">
        <w:rPr>
          <w:rFonts w:ascii="Times New Roman" w:hAnsi="Times New Roman" w:cs="Times New Roman"/>
          <w:b/>
          <w:color w:val="0D0D0D" w:themeColor="text1" w:themeTint="F2"/>
          <w:szCs w:val="24"/>
        </w:rPr>
        <w:t>2.</w:t>
      </w:r>
      <w:r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proofErr w:type="spell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Vanneste</w:t>
      </w:r>
      <w:proofErr w:type="spell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 S, De </w:t>
      </w:r>
      <w:proofErr w:type="spell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Ridder</w:t>
      </w:r>
      <w:proofErr w:type="spell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 D.</w:t>
      </w:r>
      <w:r w:rsidRPr="00BE79D0">
        <w:rPr>
          <w:rFonts w:ascii="Times New Roman" w:hAnsi="Times New Roman" w:cs="Times New Roman"/>
          <w:b/>
          <w:bCs/>
          <w:color w:val="0D0D0D" w:themeColor="text1" w:themeTint="F2"/>
          <w:szCs w:val="24"/>
        </w:rPr>
        <w:t xml:space="preserve"> </w:t>
      </w:r>
      <w:r w:rsidRPr="00BE79D0">
        <w:rPr>
          <w:rFonts w:ascii="Times New Roman" w:hAnsi="Times New Roman" w:cs="Times New Roman"/>
          <w:bCs/>
          <w:color w:val="0D0D0D" w:themeColor="text1" w:themeTint="F2"/>
          <w:szCs w:val="24"/>
        </w:rPr>
        <w:t>Brain areas controlling heart rate variability in tinnitus and tinnitus-related distress.</w:t>
      </w:r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proofErr w:type="spell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PLoS</w:t>
      </w:r>
      <w:proofErr w:type="spell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 One 2013</w:t>
      </w:r>
      <w:proofErr w:type="gram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;8:e59728</w:t>
      </w:r>
      <w:proofErr w:type="gram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. </w:t>
      </w:r>
    </w:p>
    <w:p w:rsidR="00487426" w:rsidRPr="00EC1C28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94D7C">
        <w:rPr>
          <w:rFonts w:ascii="Times New Roman" w:hAnsi="Times New Roman"/>
          <w:b/>
          <w:color w:val="0D0D0D" w:themeColor="text1" w:themeTint="F2"/>
          <w:sz w:val="24"/>
          <w:szCs w:val="24"/>
        </w:rPr>
        <w:t>3.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>Sverridottir</w:t>
      </w:r>
      <w:proofErr w:type="spellEnd"/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YB, </w:t>
      </w:r>
      <w:proofErr w:type="spellStart"/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>Mogren</w:t>
      </w:r>
      <w:proofErr w:type="spellEnd"/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T, </w:t>
      </w:r>
      <w:proofErr w:type="spellStart"/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>Kataoka</w:t>
      </w:r>
      <w:proofErr w:type="spellEnd"/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J, et al. </w:t>
      </w:r>
      <w:r w:rsidRPr="00BE79D0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</w:rPr>
        <w:t xml:space="preserve">Is polycystic ovary syndrome associated with high sympathetic nerve activity and size at birth? </w:t>
      </w:r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Am J </w:t>
      </w:r>
      <w:proofErr w:type="spellStart"/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>Physiol</w:t>
      </w:r>
      <w:proofErr w:type="spellEnd"/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>Endocrinol</w:t>
      </w:r>
      <w:proofErr w:type="spellEnd"/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>Metab</w:t>
      </w:r>
      <w:proofErr w:type="spellEnd"/>
      <w:r w:rsidRPr="00BE79D0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>2008</w:t>
      </w:r>
      <w:proofErr w:type="gramStart"/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>;294:E576</w:t>
      </w:r>
      <w:proofErr w:type="gramEnd"/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>–</w:t>
      </w:r>
      <w:r>
        <w:rPr>
          <w:rFonts w:ascii="Times New Roman" w:hAnsi="Times New Roman"/>
          <w:iCs/>
          <w:color w:val="0D0D0D" w:themeColor="text1" w:themeTint="F2"/>
          <w:sz w:val="24"/>
          <w:szCs w:val="24"/>
        </w:rPr>
        <w:t>E</w:t>
      </w:r>
      <w:r w:rsidRPr="00BE79D0">
        <w:rPr>
          <w:rFonts w:ascii="Times New Roman" w:hAnsi="Times New Roman"/>
          <w:iCs/>
          <w:color w:val="0D0D0D" w:themeColor="text1" w:themeTint="F2"/>
          <w:sz w:val="24"/>
          <w:szCs w:val="24"/>
        </w:rPr>
        <w:t>581.</w:t>
      </w:r>
    </w:p>
    <w:p w:rsidR="00487426" w:rsidRPr="00EC1C28" w:rsidRDefault="00487426" w:rsidP="00487426">
      <w:pPr>
        <w:pStyle w:val="EndnoteText"/>
        <w:suppressAutoHyphens w:val="0"/>
        <w:contextualSpacing/>
        <w:rPr>
          <w:rFonts w:ascii="Times New Roman" w:hAnsi="Times New Roman" w:cs="Times New Roman"/>
          <w:color w:val="0D0D0D" w:themeColor="text1" w:themeTint="F2"/>
          <w:szCs w:val="24"/>
        </w:rPr>
      </w:pPr>
      <w:r w:rsidRPr="00A94D7C">
        <w:rPr>
          <w:rFonts w:ascii="Times New Roman" w:hAnsi="Times New Roman" w:cs="Times New Roman"/>
          <w:b/>
          <w:color w:val="0D0D0D" w:themeColor="text1" w:themeTint="F2"/>
          <w:szCs w:val="24"/>
        </w:rPr>
        <w:lastRenderedPageBreak/>
        <w:t>4.</w:t>
      </w:r>
      <w:r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proofErr w:type="spell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Martínez-Martínez</w:t>
      </w:r>
      <w:proofErr w:type="spell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 LA, </w:t>
      </w:r>
      <w:proofErr w:type="spell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Mora</w:t>
      </w:r>
      <w:proofErr w:type="spell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 T, Vargas A, et al. Sympathetic nervous system dysfunction in fibromyalgia, chronic fatigue syndrome, irritable bowel syndrome, and interstitial cystitis: A review of case-control studies. J </w:t>
      </w:r>
      <w:proofErr w:type="spell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Clin</w:t>
      </w:r>
      <w:proofErr w:type="spell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proofErr w:type="spell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Rheumatol</w:t>
      </w:r>
      <w:proofErr w:type="spell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 2014</w:t>
      </w:r>
      <w:proofErr w:type="gram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;20:146</w:t>
      </w:r>
      <w:proofErr w:type="gramEnd"/>
      <w:r>
        <w:rPr>
          <w:rFonts w:ascii="Times New Roman" w:hAnsi="Times New Roman" w:cs="Times New Roman"/>
          <w:color w:val="0D0D0D" w:themeColor="text1" w:themeTint="F2"/>
          <w:szCs w:val="24"/>
        </w:rPr>
        <w:t>–1</w:t>
      </w:r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50.</w:t>
      </w:r>
    </w:p>
    <w:p w:rsidR="00487426" w:rsidRPr="00BE79D0" w:rsidRDefault="00487426" w:rsidP="00487426">
      <w:pPr>
        <w:widowControl w:val="0"/>
        <w:spacing w:after="0" w:line="240" w:lineRule="auto"/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94D7C">
        <w:rPr>
          <w:rFonts w:ascii="Times New Roman" w:hAnsi="Times New Roman"/>
          <w:b/>
          <w:color w:val="0D0D0D" w:themeColor="text1" w:themeTint="F2"/>
          <w:sz w:val="24"/>
          <w:szCs w:val="24"/>
        </w:rPr>
        <w:t>5.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Kung YY, Yang CC, Chiu JH, </w:t>
      </w:r>
      <w:proofErr w:type="spellStart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Kuo</w:t>
      </w:r>
      <w:proofErr w:type="spellEnd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TB. The relationship of subjective sleep quality and cardiac autonomic nervous system in postmenopausal women with insomnia under auricular acupressure</w:t>
      </w:r>
      <w:r w:rsidRPr="00BE79D0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. 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Menopause 2011</w:t>
      </w:r>
      <w:proofErr w:type="gramStart"/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;18:638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–6</w:t>
      </w:r>
      <w:r w:rsidRPr="00BE79D0">
        <w:rPr>
          <w:rFonts w:ascii="Times New Roman" w:hAnsi="Times New Roman"/>
          <w:color w:val="0D0D0D" w:themeColor="text1" w:themeTint="F2"/>
          <w:sz w:val="24"/>
          <w:szCs w:val="24"/>
        </w:rPr>
        <w:t>45.</w:t>
      </w:r>
    </w:p>
    <w:p w:rsidR="00487426" w:rsidRPr="00BE79D0" w:rsidRDefault="00487426" w:rsidP="00487426">
      <w:pPr>
        <w:pStyle w:val="EndnoteText"/>
        <w:suppressAutoHyphens w:val="0"/>
        <w:contextualSpacing/>
        <w:rPr>
          <w:rFonts w:ascii="Times New Roman" w:hAnsi="Times New Roman" w:cs="Times New Roman"/>
          <w:color w:val="0D0D0D" w:themeColor="text1" w:themeTint="F2"/>
          <w:szCs w:val="24"/>
        </w:rPr>
      </w:pPr>
      <w:r w:rsidRPr="00A94D7C">
        <w:rPr>
          <w:rFonts w:ascii="Times New Roman" w:hAnsi="Times New Roman" w:cs="Times New Roman"/>
          <w:b/>
          <w:color w:val="0D0D0D" w:themeColor="text1" w:themeTint="F2"/>
          <w:szCs w:val="24"/>
        </w:rPr>
        <w:t>6.</w:t>
      </w:r>
      <w:r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Li J, Li J, Chen Z et al. </w:t>
      </w:r>
      <w:r w:rsidRPr="00BE79D0">
        <w:rPr>
          <w:rFonts w:ascii="Times New Roman" w:hAnsi="Times New Roman" w:cs="Times New Roman"/>
          <w:bCs/>
          <w:color w:val="0D0D0D" w:themeColor="text1" w:themeTint="F2"/>
          <w:szCs w:val="24"/>
        </w:rPr>
        <w:t xml:space="preserve">The influence of PC6 on cardiovascular disorders: </w:t>
      </w:r>
      <w:r>
        <w:rPr>
          <w:rFonts w:ascii="Times New Roman" w:hAnsi="Times New Roman" w:cs="Times New Roman"/>
          <w:bCs/>
          <w:color w:val="0D0D0D" w:themeColor="text1" w:themeTint="F2"/>
          <w:szCs w:val="24"/>
        </w:rPr>
        <w:t>A</w:t>
      </w:r>
      <w:r w:rsidRPr="00BE79D0">
        <w:rPr>
          <w:rFonts w:ascii="Times New Roman" w:hAnsi="Times New Roman" w:cs="Times New Roman"/>
          <w:bCs/>
          <w:color w:val="0D0D0D" w:themeColor="text1" w:themeTint="F2"/>
          <w:szCs w:val="24"/>
        </w:rPr>
        <w:t xml:space="preserve"> review of central neural mechanisms </w:t>
      </w:r>
      <w:proofErr w:type="spell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Acupunct</w:t>
      </w:r>
      <w:proofErr w:type="spell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 Med 2012</w:t>
      </w:r>
      <w:proofErr w:type="gram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;30:47</w:t>
      </w:r>
      <w:proofErr w:type="gram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–50.</w:t>
      </w:r>
    </w:p>
    <w:p w:rsidR="00487426" w:rsidRPr="00BE79D0" w:rsidRDefault="00487426" w:rsidP="00487426">
      <w:pPr>
        <w:pStyle w:val="EndnoteText"/>
        <w:suppressAutoHyphens w:val="0"/>
        <w:contextualSpacing/>
        <w:rPr>
          <w:rFonts w:ascii="Times New Roman" w:hAnsi="Times New Roman" w:cs="Times New Roman"/>
          <w:color w:val="0D0D0D" w:themeColor="text1" w:themeTint="F2"/>
          <w:szCs w:val="24"/>
        </w:rPr>
      </w:pPr>
      <w:r w:rsidRPr="00A94D7C">
        <w:rPr>
          <w:rFonts w:ascii="Times New Roman" w:hAnsi="Times New Roman" w:cs="Times New Roman"/>
          <w:b/>
          <w:color w:val="0D0D0D" w:themeColor="text1" w:themeTint="F2"/>
          <w:szCs w:val="24"/>
        </w:rPr>
        <w:t>7.</w:t>
      </w:r>
      <w:r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Hsu CC, </w:t>
      </w:r>
      <w:proofErr w:type="spell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Weng</w:t>
      </w:r>
      <w:proofErr w:type="spell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 CS, Sun MF, et al. </w:t>
      </w:r>
      <w:r w:rsidRPr="00BE79D0">
        <w:rPr>
          <w:rFonts w:ascii="Times New Roman" w:hAnsi="Times New Roman" w:cs="Times New Roman"/>
          <w:bCs/>
          <w:color w:val="0D0D0D" w:themeColor="text1" w:themeTint="F2"/>
          <w:szCs w:val="24"/>
        </w:rPr>
        <w:t>Evaluation of scalp and auricular acupuncture on EEG, HRV, and PRV. Am J Chin Med</w:t>
      </w:r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 2007</w:t>
      </w:r>
      <w:proofErr w:type="gram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;35:219</w:t>
      </w:r>
      <w:proofErr w:type="gramEnd"/>
      <w:r>
        <w:rPr>
          <w:rFonts w:ascii="Times New Roman" w:hAnsi="Times New Roman" w:cs="Times New Roman"/>
          <w:color w:val="0D0D0D" w:themeColor="text1" w:themeTint="F2"/>
          <w:szCs w:val="24"/>
        </w:rPr>
        <w:t>–2</w:t>
      </w:r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30.</w:t>
      </w:r>
    </w:p>
    <w:p w:rsidR="00487426" w:rsidRPr="00BE79D0" w:rsidRDefault="00487426" w:rsidP="00487426">
      <w:pPr>
        <w:pStyle w:val="EndnoteText"/>
        <w:suppressAutoHyphens w:val="0"/>
        <w:contextualSpacing/>
        <w:rPr>
          <w:rFonts w:ascii="Times New Roman" w:hAnsi="Times New Roman" w:cs="Times New Roman"/>
          <w:color w:val="0D0D0D" w:themeColor="text1" w:themeTint="F2"/>
          <w:szCs w:val="24"/>
        </w:rPr>
      </w:pPr>
      <w:r w:rsidRPr="00A94D7C">
        <w:rPr>
          <w:rFonts w:ascii="Times New Roman" w:hAnsi="Times New Roman" w:cs="Times New Roman"/>
          <w:b/>
          <w:color w:val="0D0D0D" w:themeColor="text1" w:themeTint="F2"/>
          <w:szCs w:val="24"/>
        </w:rPr>
        <w:t>8.</w:t>
      </w:r>
      <w:r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Arai YC,</w:t>
      </w:r>
      <w:r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Cs w:val="24"/>
        </w:rPr>
        <w:t>Ushida</w:t>
      </w:r>
      <w:proofErr w:type="spellEnd"/>
      <w:r>
        <w:rPr>
          <w:rFonts w:ascii="Times New Roman" w:hAnsi="Times New Roman" w:cs="Times New Roman"/>
          <w:color w:val="0D0D0D" w:themeColor="text1" w:themeTint="F2"/>
          <w:szCs w:val="24"/>
        </w:rPr>
        <w:t xml:space="preserve"> T, Matsubara T, et al. </w:t>
      </w:r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The influence of acupressure at Extra 1 acupuncture point on the spectral entropy of the EEG and the LF/HF ratio of heart rate variability. </w:t>
      </w:r>
      <w:proofErr w:type="spell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Evid</w:t>
      </w:r>
      <w:proofErr w:type="spell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 Based Complement </w:t>
      </w:r>
      <w:proofErr w:type="spell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Altern</w:t>
      </w:r>
      <w:r>
        <w:rPr>
          <w:rFonts w:ascii="Times New Roman" w:hAnsi="Times New Roman" w:cs="Times New Roman"/>
          <w:color w:val="0D0D0D" w:themeColor="text1" w:themeTint="F2"/>
          <w:szCs w:val="24"/>
        </w:rPr>
        <w:t>at</w:t>
      </w:r>
      <w:proofErr w:type="spell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 xml:space="preserve"> Med 2011</w:t>
      </w:r>
      <w:proofErr w:type="gramStart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;2011:503698</w:t>
      </w:r>
      <w:proofErr w:type="gramEnd"/>
      <w:r w:rsidRPr="00BE79D0">
        <w:rPr>
          <w:rFonts w:ascii="Times New Roman" w:hAnsi="Times New Roman" w:cs="Times New Roman"/>
          <w:color w:val="0D0D0D" w:themeColor="text1" w:themeTint="F2"/>
          <w:szCs w:val="24"/>
        </w:rPr>
        <w:t>.</w:t>
      </w:r>
    </w:p>
    <w:p w:rsidR="00487426" w:rsidRPr="00BE79D0" w:rsidRDefault="00487426" w:rsidP="00487426">
      <w:pPr>
        <w:pStyle w:val="EndnoteText"/>
        <w:suppressAutoHyphens w:val="0"/>
        <w:contextualSpacing/>
        <w:rPr>
          <w:rFonts w:ascii="Times New Roman" w:hAnsi="Times New Roman" w:cs="Times New Roman"/>
          <w:color w:val="0D0D0D" w:themeColor="text1" w:themeTint="F2"/>
          <w:szCs w:val="24"/>
        </w:rPr>
      </w:pPr>
    </w:p>
    <w:p w:rsidR="00487426" w:rsidRPr="00BE79D0" w:rsidRDefault="00487426" w:rsidP="00487426">
      <w:pPr>
        <w:pStyle w:val="HTMLPreformatted"/>
        <w:widowControl w:val="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right"/>
        <w:rPr>
          <w:rStyle w:val="HTMLTypewriter"/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BE79D0">
        <w:rPr>
          <w:rStyle w:val="HTMLTypewriter"/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Kristen Sparrow, MD</w:t>
      </w:r>
      <w:r w:rsidRPr="00246E24">
        <w:rPr>
          <w:rStyle w:val="HTMLTypewriter"/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vertAlign w:val="superscript"/>
        </w:rPr>
        <w:t>1</w:t>
      </w:r>
      <w:r>
        <w:rPr>
          <w:rStyle w:val="HTMLTypewriter"/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† and </w:t>
      </w:r>
      <w:r w:rsidRPr="00BE79D0">
        <w:rPr>
          <w:rStyle w:val="HTMLTypewriter"/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Brenda </w:t>
      </w:r>
      <w:proofErr w:type="spellStart"/>
      <w:r w:rsidRPr="00BE79D0">
        <w:rPr>
          <w:rStyle w:val="HTMLTypewriter"/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Golianu</w:t>
      </w:r>
      <w:proofErr w:type="spellEnd"/>
      <w:r w:rsidRPr="00BE79D0">
        <w:rPr>
          <w:rStyle w:val="HTMLTypewriter"/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MD</w:t>
      </w:r>
      <w:r w:rsidRPr="00A94D7C">
        <w:rPr>
          <w:rStyle w:val="HTMLTypewriter"/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vertAlign w:val="superscript"/>
        </w:rPr>
        <w:t>2</w:t>
      </w:r>
    </w:p>
    <w:p w:rsidR="00487426" w:rsidRPr="00246E24" w:rsidRDefault="00487426" w:rsidP="00487426">
      <w:pPr>
        <w:pStyle w:val="HTMLPreformatted"/>
        <w:widowControl w:val="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right"/>
        <w:rPr>
          <w:rStyle w:val="HTMLTypewriter"/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246E24">
        <w:rPr>
          <w:rStyle w:val="HTMLTypewriter"/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†Corresponding author</w:t>
      </w:r>
      <w:r>
        <w:rPr>
          <w:rStyle w:val="HTMLTypewriter"/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</w:p>
    <w:p w:rsidR="00487426" w:rsidRPr="00A94D7C" w:rsidRDefault="00487426" w:rsidP="00487426">
      <w:pPr>
        <w:pStyle w:val="HTMLPreformatted"/>
        <w:widowControl w:val="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right"/>
        <w:rPr>
          <w:rStyle w:val="HTMLTypewriter"/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A94D7C">
        <w:rPr>
          <w:rStyle w:val="HTMLTypewriter"/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perscript"/>
        </w:rPr>
        <w:t>1</w:t>
      </w:r>
      <w:r w:rsidRPr="00A94D7C">
        <w:rPr>
          <w:rStyle w:val="HTMLTypewriter"/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Private Practice,</w:t>
      </w:r>
      <w:r>
        <w:rPr>
          <w:rStyle w:val="HTMLTypewriter"/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A94D7C">
        <w:rPr>
          <w:rStyle w:val="HTMLTypewriter"/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San Francisco, CA </w:t>
      </w:r>
    </w:p>
    <w:p w:rsidR="00487426" w:rsidRPr="00A94D7C" w:rsidRDefault="00487426" w:rsidP="00487426">
      <w:pPr>
        <w:pStyle w:val="HTMLPreformatted"/>
        <w:widowControl w:val="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right"/>
        <w:rPr>
          <w:rStyle w:val="HTMLTypewriter"/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A94D7C">
        <w:rPr>
          <w:rStyle w:val="HTMLTypewriter"/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perscript"/>
        </w:rPr>
        <w:t>2</w:t>
      </w:r>
      <w:r w:rsidRPr="00A94D7C">
        <w:rPr>
          <w:rStyle w:val="HTMLTypewriter"/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Department of Anesthesiology</w:t>
      </w:r>
    </w:p>
    <w:p w:rsidR="00FD6605" w:rsidRPr="00487426" w:rsidRDefault="00487426" w:rsidP="00487426">
      <w:pPr>
        <w:pStyle w:val="HTMLPreformatted"/>
        <w:widowControl w:val="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right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A94D7C">
        <w:rPr>
          <w:rStyle w:val="HTMLTypewriter"/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Stanford University, Stanford, CA</w:t>
      </w:r>
    </w:p>
    <w:sectPr w:rsidR="00FD6605" w:rsidRPr="00487426" w:rsidSect="006A2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6"/>
    <w:rsid w:val="00487426"/>
    <w:rsid w:val="00575580"/>
    <w:rsid w:val="006A206F"/>
    <w:rsid w:val="006C005F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5F5C141-2FAE-490A-B9A0-399DA5D7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26"/>
    <w:pPr>
      <w:spacing w:after="160" w:line="254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487426"/>
    <w:pPr>
      <w:widowControl w:val="0"/>
      <w:suppressAutoHyphens/>
      <w:spacing w:after="0" w:line="240" w:lineRule="auto"/>
    </w:pPr>
    <w:rPr>
      <w:rFonts w:ascii="Courier New" w:eastAsia="Times New Roman" w:hAnsi="Courier New" w:cs="Arial"/>
      <w:sz w:val="24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7426"/>
    <w:rPr>
      <w:rFonts w:ascii="Courier New" w:eastAsia="Times New Roman" w:hAnsi="Courier New" w:cs="Arial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7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7426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uiPriority w:val="99"/>
    <w:semiHidden/>
    <w:unhideWhenUsed/>
    <w:rsid w:val="004874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Sp8Works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Spaight</dc:creator>
  <cp:keywords/>
  <dc:description/>
  <cp:lastModifiedBy>Kristen Sparrow</cp:lastModifiedBy>
  <cp:revision>2</cp:revision>
  <dcterms:created xsi:type="dcterms:W3CDTF">2014-11-30T15:18:00Z</dcterms:created>
  <dcterms:modified xsi:type="dcterms:W3CDTF">2014-11-30T15:18:00Z</dcterms:modified>
</cp:coreProperties>
</file>